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9C" w:rsidRDefault="00AE7F9C" w:rsidP="00AE7F9C">
      <w:pPr>
        <w:autoSpaceDE w:val="0"/>
        <w:autoSpaceDN w:val="0"/>
        <w:adjustRightInd w:val="0"/>
        <w:ind w:right="-1"/>
        <w:jc w:val="both"/>
        <w:rPr>
          <w:rFonts w:ascii="Helv" w:hAnsi="Helv" w:cs="Helv"/>
          <w:color w:val="000000"/>
        </w:rPr>
      </w:pPr>
    </w:p>
    <w:p w:rsidR="00AE7F9C" w:rsidRPr="003E7020" w:rsidRDefault="00AE7F9C" w:rsidP="00AE7F9C">
      <w:pPr>
        <w:autoSpaceDE w:val="0"/>
        <w:autoSpaceDN w:val="0"/>
        <w:adjustRightInd w:val="0"/>
        <w:ind w:left="-284" w:right="-1"/>
        <w:jc w:val="center"/>
        <w:rPr>
          <w:rFonts w:ascii="Helv" w:hAnsi="Helv" w:cs="Helv"/>
          <w:b/>
          <w:color w:val="000000"/>
        </w:rPr>
      </w:pPr>
      <w:r>
        <w:rPr>
          <w:rFonts w:ascii="Helv" w:hAnsi="Helv" w:cs="Helv"/>
          <w:b/>
          <w:color w:val="000000"/>
        </w:rPr>
        <w:t>CAPITOLATO FINESTRE BATTENTI DOMAL TOP TB65</w:t>
      </w:r>
      <w:r>
        <w:rPr>
          <w:rFonts w:ascii="Helv" w:hAnsi="Helv" w:cs="Helv"/>
          <w:b/>
          <w:color w:val="000000"/>
        </w:rPr>
        <w:t xml:space="preserve"> minimale</w:t>
      </w:r>
    </w:p>
    <w:p w:rsidR="00AE7F9C" w:rsidRPr="00FE7326" w:rsidRDefault="00AE7F9C" w:rsidP="00AE7F9C">
      <w:pPr>
        <w:pStyle w:val="Default"/>
        <w:numPr>
          <w:ilvl w:val="0"/>
          <w:numId w:val="1"/>
        </w:numPr>
        <w:jc w:val="both"/>
        <w:rPr>
          <w:rFonts w:ascii="Arial" w:hAnsi="Arial" w:cs="Arial"/>
          <w:b/>
          <w:sz w:val="22"/>
          <w:szCs w:val="22"/>
        </w:rPr>
      </w:pPr>
      <w:r w:rsidRPr="00FE7326">
        <w:rPr>
          <w:rFonts w:ascii="Arial" w:hAnsi="Arial" w:cs="Arial"/>
          <w:b/>
          <w:sz w:val="22"/>
          <w:szCs w:val="22"/>
        </w:rPr>
        <w:t xml:space="preserve">Struttura dei serramenti </w:t>
      </w:r>
    </w:p>
    <w:p w:rsidR="00AE7F9C" w:rsidRPr="00FE7326" w:rsidRDefault="00AE7F9C" w:rsidP="00AE7F9C">
      <w:pPr>
        <w:spacing w:line="240" w:lineRule="auto"/>
        <w:jc w:val="both"/>
        <w:rPr>
          <w:rFonts w:ascii="Arial" w:hAnsi="Arial" w:cs="Arial"/>
          <w:color w:val="000000"/>
        </w:rPr>
      </w:pPr>
      <w:r w:rsidRPr="00FE7326">
        <w:rPr>
          <w:rFonts w:ascii="Arial" w:hAnsi="Arial" w:cs="Arial"/>
          <w:color w:val="000000"/>
        </w:rPr>
        <w:t xml:space="preserve">I serramenti a battente </w:t>
      </w:r>
      <w:proofErr w:type="spellStart"/>
      <w:r w:rsidRPr="00FE7326">
        <w:rPr>
          <w:rFonts w:ascii="Arial" w:hAnsi="Arial" w:cs="Arial"/>
          <w:color w:val="000000"/>
        </w:rPr>
        <w:t>Domal</w:t>
      </w:r>
      <w:proofErr w:type="spellEnd"/>
      <w:r w:rsidRPr="00FE7326">
        <w:rPr>
          <w:rFonts w:ascii="Arial" w:hAnsi="Arial" w:cs="Arial"/>
          <w:color w:val="000000"/>
        </w:rPr>
        <w:t xml:space="preserve"> TOP TB</w:t>
      </w:r>
      <w:r w:rsidRPr="00FE7326">
        <w:rPr>
          <w:rFonts w:ascii="Arial" w:hAnsi="Arial" w:cs="Arial"/>
          <w:color w:val="000000"/>
        </w:rPr>
        <w:t>6</w:t>
      </w:r>
      <w:r w:rsidRPr="00FE7326">
        <w:rPr>
          <w:rFonts w:ascii="Arial" w:hAnsi="Arial" w:cs="Arial"/>
          <w:color w:val="000000"/>
        </w:rPr>
        <w:t>5 minimale (o tecnicamente equivalente) sono realizzati con profilati estrusi in lega di alluminio EN AW 6060 da lavorazione plastica rispondenti alla normativa UNI-EN 573-3 sottoposti ad un processo di trattamento termico applicato secondo la normativa UNI-EN 755-2 (bonifica con tempra in aria alla pressa, seguita da invecchiamento artificiale) per ottenere lo stato fisico T66.</w:t>
      </w:r>
    </w:p>
    <w:p w:rsidR="00AE7F9C" w:rsidRPr="00FE7326" w:rsidRDefault="00AE7F9C" w:rsidP="00AE7F9C">
      <w:pPr>
        <w:tabs>
          <w:tab w:val="left" w:pos="2115"/>
        </w:tabs>
        <w:spacing w:after="0" w:line="240" w:lineRule="auto"/>
        <w:jc w:val="both"/>
        <w:rPr>
          <w:rFonts w:ascii="Arial" w:hAnsi="Arial" w:cs="Arial"/>
          <w:color w:val="000000"/>
        </w:rPr>
      </w:pPr>
      <w:r w:rsidRPr="00FE7326">
        <w:rPr>
          <w:rFonts w:ascii="Arial" w:hAnsi="Arial" w:cs="Arial"/>
          <w:color w:val="000000"/>
        </w:rPr>
        <w:t>Il telaio</w:t>
      </w:r>
      <w:r w:rsidRPr="00FE7326">
        <w:rPr>
          <w:rFonts w:ascii="Arial" w:hAnsi="Arial" w:cs="Arial"/>
          <w:color w:val="000000"/>
        </w:rPr>
        <w:t xml:space="preserve"> fisso ha profondità totale di 6</w:t>
      </w:r>
      <w:r w:rsidRPr="00FE7326">
        <w:rPr>
          <w:rFonts w:ascii="Arial" w:hAnsi="Arial" w:cs="Arial"/>
          <w:color w:val="000000"/>
        </w:rPr>
        <w:t>5mm; il telaio mobile, per garantire una maggiore resistenza alla pressione dinamica d</w:t>
      </w:r>
      <w:r w:rsidRPr="00FE7326">
        <w:rPr>
          <w:rFonts w:ascii="Arial" w:hAnsi="Arial" w:cs="Arial"/>
          <w:color w:val="000000"/>
        </w:rPr>
        <w:t>el vento, ha una profondità di 7</w:t>
      </w:r>
      <w:r w:rsidRPr="00FE7326">
        <w:rPr>
          <w:rFonts w:ascii="Arial" w:hAnsi="Arial" w:cs="Arial"/>
          <w:color w:val="000000"/>
        </w:rPr>
        <w:t xml:space="preserve">4.5mm e aletta </w:t>
      </w:r>
      <w:proofErr w:type="spellStart"/>
      <w:r w:rsidRPr="00FE7326">
        <w:rPr>
          <w:rFonts w:ascii="Arial" w:hAnsi="Arial" w:cs="Arial"/>
          <w:color w:val="000000"/>
        </w:rPr>
        <w:t>cingivetro</w:t>
      </w:r>
      <w:proofErr w:type="spellEnd"/>
      <w:r w:rsidRPr="00FE7326">
        <w:rPr>
          <w:rFonts w:ascii="Arial" w:hAnsi="Arial" w:cs="Arial"/>
          <w:color w:val="000000"/>
        </w:rPr>
        <w:t xml:space="preserve"> diritta, squadrata o stondata. L’aletta di sovrapposizione interna al muro è di 22.5mm ed ha una sede per la guarnizione.</w:t>
      </w:r>
    </w:p>
    <w:p w:rsidR="00AE7F9C" w:rsidRPr="00FE7326" w:rsidRDefault="00AE7F9C" w:rsidP="00AE7F9C">
      <w:pPr>
        <w:tabs>
          <w:tab w:val="left" w:pos="2115"/>
        </w:tabs>
        <w:spacing w:after="0" w:line="240" w:lineRule="auto"/>
        <w:jc w:val="both"/>
        <w:rPr>
          <w:rFonts w:ascii="Arial" w:hAnsi="Arial" w:cs="Arial"/>
        </w:rPr>
      </w:pPr>
      <w:r w:rsidRPr="00FE7326">
        <w:rPr>
          <w:rFonts w:ascii="Arial" w:hAnsi="Arial" w:cs="Arial"/>
        </w:rPr>
        <w:t>La superficie di alluminio in vista esternamente del nodo laterale ed del nodo centrale sono rispettivamente di 72 mm e 99,5 mm.</w:t>
      </w:r>
    </w:p>
    <w:p w:rsidR="00AE7F9C" w:rsidRPr="00FE7326" w:rsidRDefault="00AE7F9C" w:rsidP="00AE7F9C">
      <w:pPr>
        <w:tabs>
          <w:tab w:val="left" w:pos="2115"/>
        </w:tabs>
        <w:spacing w:after="120" w:line="240" w:lineRule="auto"/>
        <w:jc w:val="both"/>
        <w:rPr>
          <w:rFonts w:ascii="Arial" w:hAnsi="Arial" w:cs="Arial"/>
          <w:color w:val="000000"/>
        </w:rPr>
      </w:pPr>
      <w:r w:rsidRPr="00FE7326">
        <w:rPr>
          <w:rFonts w:ascii="Arial" w:hAnsi="Arial" w:cs="Arial"/>
          <w:color w:val="000000"/>
        </w:rPr>
        <w:t>Il serramento finito dovrà presentare la superficie esterna piana con fughe di 5mm tra un profilato e l’altro mentre all’interno il piano individuato dalle parti apribili potrà essere complanare o sporgere di 9.5mm rispetto a quello delle parti fisse.</w:t>
      </w:r>
    </w:p>
    <w:p w:rsidR="00AE7F9C" w:rsidRPr="00FE7326" w:rsidRDefault="00AE7F9C" w:rsidP="00AE7F9C">
      <w:pPr>
        <w:pStyle w:val="Default"/>
        <w:numPr>
          <w:ilvl w:val="0"/>
          <w:numId w:val="1"/>
        </w:numPr>
        <w:jc w:val="both"/>
        <w:rPr>
          <w:rFonts w:ascii="Arial" w:hAnsi="Arial" w:cs="Arial"/>
          <w:b/>
          <w:sz w:val="22"/>
          <w:szCs w:val="22"/>
        </w:rPr>
      </w:pPr>
      <w:r w:rsidRPr="00FE7326">
        <w:rPr>
          <w:rFonts w:ascii="Arial" w:hAnsi="Arial" w:cs="Arial"/>
          <w:b/>
          <w:sz w:val="22"/>
          <w:szCs w:val="22"/>
        </w:rPr>
        <w:t>Isolamento termico</w:t>
      </w:r>
    </w:p>
    <w:p w:rsidR="00AE7F9C" w:rsidRPr="00FE7326" w:rsidRDefault="00AE7F9C" w:rsidP="00AE7F9C">
      <w:pPr>
        <w:tabs>
          <w:tab w:val="left" w:pos="2115"/>
        </w:tabs>
        <w:spacing w:after="120" w:line="240" w:lineRule="auto"/>
        <w:jc w:val="both"/>
        <w:rPr>
          <w:rFonts w:ascii="Arial" w:hAnsi="Arial" w:cs="Arial"/>
          <w:color w:val="000000"/>
        </w:rPr>
      </w:pPr>
      <w:r w:rsidRPr="00FE7326">
        <w:rPr>
          <w:rFonts w:ascii="Arial" w:hAnsi="Arial" w:cs="Arial"/>
          <w:color w:val="000000"/>
        </w:rPr>
        <w:t xml:space="preserve">I profilati sono di tipo isolato avendo la sagoma composta da due estrusi in alluminio collegati meccanicamente e separati termicamente mediante listelli in materiale plastico che riducono lo scambio termico tra le masse metalliche. L’interruzione del ponte termico è ottenuta dall’interposizione dei listelli separatori composti da poliammide rinforzato con fibra di vetro e caratterizzati da un basso valore di conduttività termica e da guarnizioni in EPDM a doppia densità, la dimensione dei listelli è di </w:t>
      </w:r>
      <w:r w:rsidRPr="00FE7326">
        <w:rPr>
          <w:rFonts w:ascii="Arial" w:hAnsi="Arial" w:cs="Arial"/>
          <w:color w:val="000000"/>
        </w:rPr>
        <w:t>3</w:t>
      </w:r>
      <w:r w:rsidRPr="00FE7326">
        <w:rPr>
          <w:rFonts w:ascii="Arial" w:hAnsi="Arial" w:cs="Arial"/>
          <w:color w:val="000000"/>
        </w:rPr>
        <w:t>0mm di profondità e il loro bloccaggio è meccanico con rullatura dall’esterno previa zigrinatura delle sedi di alluminio per evitare scorrimenti.</w:t>
      </w:r>
    </w:p>
    <w:p w:rsidR="00AE7F9C" w:rsidRPr="00FE7326" w:rsidRDefault="00AE7F9C" w:rsidP="00AE7F9C">
      <w:pPr>
        <w:pStyle w:val="Paragrafoelenco"/>
        <w:numPr>
          <w:ilvl w:val="0"/>
          <w:numId w:val="1"/>
        </w:numPr>
        <w:tabs>
          <w:tab w:val="left" w:pos="2115"/>
        </w:tabs>
        <w:spacing w:after="0" w:line="240" w:lineRule="auto"/>
        <w:jc w:val="both"/>
        <w:rPr>
          <w:rFonts w:ascii="Arial" w:hAnsi="Arial" w:cs="Arial"/>
          <w:b/>
          <w:color w:val="000000"/>
        </w:rPr>
      </w:pPr>
      <w:r w:rsidRPr="00FE7326">
        <w:rPr>
          <w:rFonts w:ascii="Arial" w:hAnsi="Arial" w:cs="Arial"/>
          <w:b/>
          <w:color w:val="000000"/>
        </w:rPr>
        <w:t>Drenaggio acqua e ventilazione vetri</w:t>
      </w:r>
    </w:p>
    <w:p w:rsidR="00AE7F9C" w:rsidRPr="00FE7326" w:rsidRDefault="00AE7F9C" w:rsidP="00AE7F9C">
      <w:pPr>
        <w:tabs>
          <w:tab w:val="left" w:pos="2115"/>
        </w:tabs>
        <w:spacing w:after="120" w:line="240" w:lineRule="auto"/>
        <w:jc w:val="both"/>
        <w:rPr>
          <w:rFonts w:ascii="Arial" w:hAnsi="Arial" w:cs="Arial"/>
          <w:color w:val="000000"/>
        </w:rPr>
      </w:pPr>
      <w:r w:rsidRPr="00FE7326">
        <w:rPr>
          <w:rFonts w:ascii="Arial" w:hAnsi="Arial" w:cs="Arial"/>
          <w:color w:val="000000"/>
        </w:rPr>
        <w:t>Il sistema di tenuta all’aria è a giunto aperto con una guarnizione centrale in EPDM inserita nel telaio fisso ed in appoggio diretto sul piano del profilato mobile. Nella traversa inferiore fissa dovrà essere consentito lo scarico verso l’esterno dell’acqua e quindi dovranno essere praticate le asole per lo scarico; gli angoli dovranno essere sigillati con mastici per evitare le infiltrazioni di aria e di acqua. Nella traversa inferiore delle ante mobili, nel caso di utilizzo di vetri isolanti, dovranno essere praticati dei fori di aerazione per la zona perimetrale del vetro.</w:t>
      </w:r>
    </w:p>
    <w:p w:rsidR="00AE7F9C" w:rsidRPr="00FE7326" w:rsidRDefault="00AE7F9C" w:rsidP="00AE7F9C">
      <w:pPr>
        <w:pStyle w:val="Paragrafoelenco"/>
        <w:numPr>
          <w:ilvl w:val="0"/>
          <w:numId w:val="1"/>
        </w:numPr>
        <w:tabs>
          <w:tab w:val="left" w:pos="2115"/>
        </w:tabs>
        <w:spacing w:after="0" w:line="240" w:lineRule="auto"/>
        <w:jc w:val="both"/>
        <w:rPr>
          <w:rFonts w:ascii="Arial" w:hAnsi="Arial" w:cs="Arial"/>
          <w:b/>
          <w:color w:val="000000"/>
        </w:rPr>
      </w:pPr>
      <w:proofErr w:type="spellStart"/>
      <w:r w:rsidRPr="00FE7326">
        <w:rPr>
          <w:rFonts w:ascii="Arial" w:hAnsi="Arial" w:cs="Arial"/>
          <w:b/>
          <w:color w:val="000000"/>
        </w:rPr>
        <w:t>Vetrazione</w:t>
      </w:r>
      <w:proofErr w:type="spellEnd"/>
    </w:p>
    <w:p w:rsidR="00AE7F9C" w:rsidRPr="00FE7326" w:rsidRDefault="00AE7F9C" w:rsidP="00AE7F9C">
      <w:pPr>
        <w:pStyle w:val="Default"/>
        <w:jc w:val="both"/>
        <w:rPr>
          <w:rFonts w:ascii="Arial" w:hAnsi="Arial" w:cs="Arial"/>
          <w:sz w:val="22"/>
          <w:szCs w:val="22"/>
        </w:rPr>
      </w:pPr>
      <w:r w:rsidRPr="00FE7326">
        <w:rPr>
          <w:rFonts w:ascii="Arial" w:hAnsi="Arial" w:cs="Arial"/>
          <w:sz w:val="22"/>
          <w:szCs w:val="22"/>
        </w:rPr>
        <w:t xml:space="preserve">I </w:t>
      </w:r>
      <w:proofErr w:type="spellStart"/>
      <w:r w:rsidRPr="00FE7326">
        <w:rPr>
          <w:rFonts w:ascii="Arial" w:hAnsi="Arial" w:cs="Arial"/>
          <w:sz w:val="22"/>
          <w:szCs w:val="22"/>
        </w:rPr>
        <w:t>fermavetri</w:t>
      </w:r>
      <w:proofErr w:type="spellEnd"/>
      <w:r w:rsidRPr="00FE7326">
        <w:rPr>
          <w:rFonts w:ascii="Arial" w:hAnsi="Arial" w:cs="Arial"/>
          <w:sz w:val="22"/>
          <w:szCs w:val="22"/>
        </w:rPr>
        <w:t xml:space="preserve"> saranno installati mediante uno scatto ottenuto per elasticità del materiale o a contrasto e hanno sedi per l’inserimento delle guarnizioni di tenuta del vetro. </w:t>
      </w:r>
    </w:p>
    <w:p w:rsidR="00AE7F9C" w:rsidRPr="00FE7326" w:rsidRDefault="00AE7F9C" w:rsidP="00AE7F9C">
      <w:pPr>
        <w:pStyle w:val="Default"/>
        <w:jc w:val="both"/>
        <w:rPr>
          <w:rFonts w:ascii="Arial" w:hAnsi="Arial" w:cs="Arial"/>
          <w:sz w:val="22"/>
          <w:szCs w:val="22"/>
        </w:rPr>
      </w:pPr>
    </w:p>
    <w:p w:rsidR="00AE7F9C" w:rsidRPr="00FE7326" w:rsidRDefault="00AE7F9C" w:rsidP="00AE7F9C">
      <w:pPr>
        <w:pStyle w:val="Paragrafoelenco"/>
        <w:numPr>
          <w:ilvl w:val="0"/>
          <w:numId w:val="1"/>
        </w:numPr>
        <w:tabs>
          <w:tab w:val="left" w:pos="2115"/>
        </w:tabs>
        <w:spacing w:after="0" w:line="240" w:lineRule="auto"/>
        <w:jc w:val="both"/>
        <w:rPr>
          <w:rFonts w:ascii="Arial" w:hAnsi="Arial" w:cs="Arial"/>
          <w:b/>
          <w:color w:val="000000"/>
        </w:rPr>
      </w:pPr>
      <w:r w:rsidRPr="00FE7326">
        <w:rPr>
          <w:rFonts w:ascii="Arial" w:hAnsi="Arial" w:cs="Arial"/>
          <w:b/>
          <w:color w:val="000000"/>
        </w:rPr>
        <w:t xml:space="preserve">Accessori e guarnizioni </w:t>
      </w:r>
    </w:p>
    <w:p w:rsidR="00AE7F9C" w:rsidRPr="00FE7326" w:rsidRDefault="00AE7F9C" w:rsidP="00AE7F9C">
      <w:pPr>
        <w:autoSpaceDE w:val="0"/>
        <w:autoSpaceDN w:val="0"/>
        <w:adjustRightInd w:val="0"/>
        <w:jc w:val="both"/>
        <w:rPr>
          <w:rFonts w:ascii="Arial" w:hAnsi="Arial" w:cs="Arial"/>
          <w:color w:val="000000"/>
        </w:rPr>
      </w:pPr>
      <w:r w:rsidRPr="00FE7326">
        <w:rPr>
          <w:rFonts w:ascii="Arial" w:hAnsi="Arial" w:cs="Arial"/>
          <w:color w:val="000000"/>
        </w:rPr>
        <w:t>A garanzia della qualità del prodotto finito, gli accessori e le guarnizioni dovranno essere tutti originali del sistema come indicato sui manuali del produttore e rispondenti alle norme UNI ed alle disposizioni in materia di sicurezza DL. 626 e DL. 242. Gli accessori e le guarnizioni hanno caratteristiche tali da conferire al serramento la resistenza meccanica, la stabilità e la funzionalità per le condizioni di uso e sollecitazione a cui è destinato. I materiali costituenti gli accessori sono compatibili con quelli delle superfici con cui vengono posti a contatto.</w:t>
      </w:r>
    </w:p>
    <w:p w:rsidR="00AE7F9C" w:rsidRPr="00FE7326" w:rsidRDefault="00AE7F9C" w:rsidP="00AE7F9C">
      <w:pPr>
        <w:pStyle w:val="Paragrafoelenco"/>
        <w:numPr>
          <w:ilvl w:val="0"/>
          <w:numId w:val="1"/>
        </w:numPr>
        <w:tabs>
          <w:tab w:val="left" w:pos="2115"/>
        </w:tabs>
        <w:spacing w:after="0" w:line="240" w:lineRule="auto"/>
        <w:jc w:val="both"/>
        <w:rPr>
          <w:rFonts w:ascii="Arial" w:hAnsi="Arial" w:cs="Arial"/>
          <w:b/>
          <w:color w:val="000000"/>
        </w:rPr>
      </w:pPr>
      <w:r w:rsidRPr="00FE7326">
        <w:rPr>
          <w:rFonts w:ascii="Arial" w:hAnsi="Arial" w:cs="Arial"/>
          <w:b/>
          <w:color w:val="000000"/>
        </w:rPr>
        <w:t xml:space="preserve">Sigillanti </w:t>
      </w:r>
    </w:p>
    <w:p w:rsidR="00FE7326" w:rsidRDefault="00AE7F9C" w:rsidP="00AE7F9C">
      <w:pPr>
        <w:autoSpaceDE w:val="0"/>
        <w:autoSpaceDN w:val="0"/>
        <w:adjustRightInd w:val="0"/>
        <w:jc w:val="both"/>
        <w:rPr>
          <w:rFonts w:ascii="Arial" w:hAnsi="Arial" w:cs="Arial"/>
          <w:color w:val="000000"/>
        </w:rPr>
      </w:pPr>
      <w:r w:rsidRPr="00FE7326">
        <w:rPr>
          <w:rFonts w:ascii="Arial" w:hAnsi="Arial" w:cs="Arial"/>
          <w:color w:val="000000"/>
        </w:rPr>
        <w:t xml:space="preserve">Tali materiali non corrodono le parti in alluminio e sue leghe con cui vengono in contatto. I sigillanti garantiscono al serramento le prestazioni di tenuta all’acqua, tenuta all’aria, tenuta alla polvere e la </w:t>
      </w:r>
    </w:p>
    <w:p w:rsidR="00FE7326" w:rsidRDefault="00FE7326" w:rsidP="00AE7F9C">
      <w:pPr>
        <w:autoSpaceDE w:val="0"/>
        <w:autoSpaceDN w:val="0"/>
        <w:adjustRightInd w:val="0"/>
        <w:jc w:val="both"/>
        <w:rPr>
          <w:rFonts w:ascii="Arial" w:hAnsi="Arial" w:cs="Arial"/>
          <w:color w:val="000000"/>
        </w:rPr>
      </w:pPr>
    </w:p>
    <w:p w:rsidR="002829B8" w:rsidRPr="00FE7326" w:rsidRDefault="00AE7F9C" w:rsidP="00AE7F9C">
      <w:pPr>
        <w:autoSpaceDE w:val="0"/>
        <w:autoSpaceDN w:val="0"/>
        <w:adjustRightInd w:val="0"/>
        <w:jc w:val="both"/>
        <w:rPr>
          <w:rFonts w:ascii="Arial" w:hAnsi="Arial" w:cs="Arial"/>
          <w:color w:val="000000"/>
        </w:rPr>
      </w:pPr>
      <w:bookmarkStart w:id="0" w:name="_GoBack"/>
      <w:bookmarkEnd w:id="0"/>
      <w:r w:rsidRPr="00FE7326">
        <w:rPr>
          <w:rFonts w:ascii="Arial" w:hAnsi="Arial" w:cs="Arial"/>
          <w:color w:val="000000"/>
        </w:rPr>
        <w:t>realizzazione di continuità elastica durevole nel tempo tra due supporti in movimento, sono compatibili con i materiali con cui vengono in contatto e sono conformi alle norme di riferimento UNI 9610/00, UNI 9611, UNI 3952/00.</w:t>
      </w:r>
    </w:p>
    <w:p w:rsidR="00AE7F9C" w:rsidRPr="00FE7326" w:rsidRDefault="00AE7F9C" w:rsidP="00AE7F9C">
      <w:pPr>
        <w:pStyle w:val="Default"/>
        <w:numPr>
          <w:ilvl w:val="0"/>
          <w:numId w:val="1"/>
        </w:numPr>
        <w:jc w:val="both"/>
        <w:rPr>
          <w:rFonts w:ascii="Arial" w:hAnsi="Arial" w:cs="Arial"/>
          <w:b/>
          <w:sz w:val="22"/>
          <w:szCs w:val="22"/>
        </w:rPr>
      </w:pPr>
      <w:r w:rsidRPr="00FE7326">
        <w:rPr>
          <w:rFonts w:ascii="Arial" w:hAnsi="Arial" w:cs="Arial"/>
          <w:b/>
          <w:sz w:val="22"/>
          <w:szCs w:val="22"/>
        </w:rPr>
        <w:t>Prestazioni agli agenti atmosferici</w:t>
      </w:r>
    </w:p>
    <w:p w:rsidR="00AE7F9C" w:rsidRPr="00FE7326" w:rsidRDefault="00AE7F9C" w:rsidP="00AE7F9C">
      <w:pPr>
        <w:jc w:val="both"/>
        <w:rPr>
          <w:rFonts w:ascii="Arial" w:hAnsi="Arial" w:cs="Arial"/>
          <w:color w:val="000000"/>
        </w:rPr>
      </w:pPr>
      <w:r w:rsidRPr="00FE7326">
        <w:rPr>
          <w:rFonts w:ascii="Arial" w:hAnsi="Arial" w:cs="Arial"/>
          <w:color w:val="000000"/>
        </w:rPr>
        <w:t>Il serramento fornito dovrà possedere un certificato che attesti le seguenti prestazioni :</w:t>
      </w:r>
    </w:p>
    <w:p w:rsidR="00AE7F9C" w:rsidRPr="00FE7326" w:rsidRDefault="00AE7F9C" w:rsidP="00AE7F9C">
      <w:pPr>
        <w:spacing w:after="0" w:line="240" w:lineRule="auto"/>
        <w:jc w:val="both"/>
        <w:rPr>
          <w:rFonts w:ascii="Arial" w:hAnsi="Arial" w:cs="Arial"/>
          <w:color w:val="000000"/>
          <w:lang w:val="fr-FR"/>
        </w:rPr>
      </w:pPr>
      <w:proofErr w:type="spellStart"/>
      <w:r w:rsidRPr="00FE7326">
        <w:rPr>
          <w:rFonts w:ascii="Arial" w:hAnsi="Arial" w:cs="Arial"/>
          <w:color w:val="000000"/>
          <w:lang w:val="fr-FR"/>
        </w:rPr>
        <w:t>Permeabilità</w:t>
      </w:r>
      <w:proofErr w:type="spellEnd"/>
      <w:r w:rsidRPr="00FE7326">
        <w:rPr>
          <w:rFonts w:ascii="Arial" w:hAnsi="Arial" w:cs="Arial"/>
          <w:color w:val="000000"/>
          <w:lang w:val="fr-FR"/>
        </w:rPr>
        <w:t xml:space="preserve"> </w:t>
      </w:r>
      <w:proofErr w:type="spellStart"/>
      <w:r w:rsidRPr="00FE7326">
        <w:rPr>
          <w:rFonts w:ascii="Arial" w:hAnsi="Arial" w:cs="Arial"/>
          <w:color w:val="000000"/>
          <w:lang w:val="fr-FR"/>
        </w:rPr>
        <w:t>all’aria</w:t>
      </w:r>
      <w:proofErr w:type="spellEnd"/>
      <w:r w:rsidRPr="00FE7326">
        <w:rPr>
          <w:rFonts w:ascii="Arial" w:hAnsi="Arial" w:cs="Arial"/>
          <w:color w:val="000000"/>
          <w:lang w:val="fr-FR"/>
        </w:rPr>
        <w:t xml:space="preserve">: classe 4 (UNI EN 12207 – UNI EN 1026) </w:t>
      </w:r>
    </w:p>
    <w:p w:rsidR="00AE7F9C" w:rsidRPr="00FE7326" w:rsidRDefault="00AE7F9C" w:rsidP="00AE7F9C">
      <w:pPr>
        <w:spacing w:after="0" w:line="240" w:lineRule="auto"/>
        <w:jc w:val="both"/>
        <w:rPr>
          <w:rFonts w:ascii="Arial" w:hAnsi="Arial" w:cs="Arial"/>
          <w:color w:val="000000"/>
        </w:rPr>
      </w:pPr>
      <w:r w:rsidRPr="00FE7326">
        <w:rPr>
          <w:rFonts w:ascii="Arial" w:hAnsi="Arial" w:cs="Arial"/>
          <w:color w:val="000000"/>
        </w:rPr>
        <w:t xml:space="preserve">Tenuta all’acqua: classe E 1500 (UNI EN 12208 – UNI EN 1027) </w:t>
      </w:r>
    </w:p>
    <w:p w:rsidR="002829B8" w:rsidRPr="00FE7326" w:rsidRDefault="00AE7F9C" w:rsidP="00AE7F9C">
      <w:pPr>
        <w:spacing w:after="0" w:line="240" w:lineRule="auto"/>
        <w:jc w:val="both"/>
        <w:rPr>
          <w:rFonts w:ascii="Arial" w:hAnsi="Arial" w:cs="Arial"/>
          <w:color w:val="000000"/>
        </w:rPr>
      </w:pPr>
      <w:r w:rsidRPr="00FE7326">
        <w:rPr>
          <w:rFonts w:ascii="Arial" w:hAnsi="Arial" w:cs="Arial"/>
          <w:color w:val="000000"/>
        </w:rPr>
        <w:t>Resistenza al carico del vento: classe C</w:t>
      </w:r>
      <w:r w:rsidRPr="00FE7326">
        <w:rPr>
          <w:rFonts w:ascii="Arial" w:hAnsi="Arial" w:cs="Arial"/>
          <w:color w:val="000000"/>
        </w:rPr>
        <w:t>4</w:t>
      </w:r>
      <w:r w:rsidRPr="00FE7326">
        <w:rPr>
          <w:rFonts w:ascii="Arial" w:hAnsi="Arial" w:cs="Arial"/>
          <w:color w:val="000000"/>
        </w:rPr>
        <w:t xml:space="preserve"> (UNI EN 12210 – UNI EN 12211) </w:t>
      </w:r>
    </w:p>
    <w:p w:rsidR="00AE7F9C" w:rsidRPr="00FE7326" w:rsidRDefault="00AE7F9C" w:rsidP="00AE7F9C">
      <w:pPr>
        <w:spacing w:after="0" w:line="240" w:lineRule="auto"/>
        <w:jc w:val="both"/>
        <w:rPr>
          <w:rFonts w:ascii="Arial" w:hAnsi="Arial" w:cs="Arial"/>
          <w:color w:val="000000"/>
        </w:rPr>
      </w:pPr>
    </w:p>
    <w:p w:rsidR="00AE7F9C" w:rsidRPr="00FE7326" w:rsidRDefault="00AE7F9C" w:rsidP="00AE7F9C">
      <w:pPr>
        <w:pStyle w:val="Default"/>
        <w:numPr>
          <w:ilvl w:val="0"/>
          <w:numId w:val="1"/>
        </w:numPr>
        <w:jc w:val="both"/>
        <w:rPr>
          <w:rFonts w:ascii="Arial" w:hAnsi="Arial" w:cs="Arial"/>
          <w:b/>
          <w:sz w:val="22"/>
          <w:szCs w:val="22"/>
        </w:rPr>
      </w:pPr>
      <w:r w:rsidRPr="00FE7326">
        <w:rPr>
          <w:rFonts w:ascii="Arial" w:hAnsi="Arial" w:cs="Arial"/>
          <w:b/>
          <w:sz w:val="22"/>
          <w:szCs w:val="22"/>
        </w:rPr>
        <w:t xml:space="preserve">Prestazioni acustiche </w:t>
      </w:r>
    </w:p>
    <w:p w:rsidR="00AE7F9C" w:rsidRPr="00FE7326" w:rsidRDefault="00AE7F9C" w:rsidP="00AE7F9C">
      <w:pPr>
        <w:jc w:val="both"/>
        <w:rPr>
          <w:rFonts w:ascii="Arial" w:hAnsi="Arial" w:cs="Arial"/>
          <w:color w:val="000000"/>
        </w:rPr>
      </w:pPr>
      <w:r w:rsidRPr="00FE7326">
        <w:rPr>
          <w:rFonts w:ascii="Arial" w:hAnsi="Arial" w:cs="Arial"/>
          <w:color w:val="000000"/>
        </w:rPr>
        <w:t xml:space="preserve">Il serramento, dovrà avere un indice di valutazione del potere fonoisolante </w:t>
      </w:r>
      <w:proofErr w:type="spellStart"/>
      <w:r w:rsidRPr="00FE7326">
        <w:rPr>
          <w:rFonts w:ascii="Arial" w:hAnsi="Arial" w:cs="Arial"/>
          <w:color w:val="000000"/>
        </w:rPr>
        <w:t>Rw</w:t>
      </w:r>
      <w:proofErr w:type="spellEnd"/>
      <w:r w:rsidRPr="00FE7326">
        <w:rPr>
          <w:rFonts w:ascii="Arial" w:hAnsi="Arial" w:cs="Arial"/>
          <w:color w:val="000000"/>
        </w:rPr>
        <w:t xml:space="preserve"> correlato alla destinazione d’uso del locale nel quale l’infisso dovrà essere inserito ed al livello del rumore esterno come prescritto dalla “Legge quadro sull’inquinamento acustico” – Legge 26 ottobre 1995 n° 447 – e dal successivo DPCM del 5 dicembre 1997. I valori di isolamento acustico ottenuti secondo la norma UNI EN 10140-3 (2010) – UNI EN ISO 717-1 (2013) saranno i seguenti:</w:t>
      </w:r>
    </w:p>
    <w:p w:rsidR="00AE7F9C" w:rsidRPr="00FE7326" w:rsidRDefault="00AE7F9C" w:rsidP="00AE7F9C">
      <w:pPr>
        <w:spacing w:after="0" w:line="240" w:lineRule="auto"/>
        <w:jc w:val="both"/>
        <w:rPr>
          <w:rFonts w:ascii="Arial" w:hAnsi="Arial" w:cs="Arial"/>
          <w:color w:val="000000"/>
          <w:lang w:val="en-US"/>
        </w:rPr>
      </w:pPr>
      <w:r w:rsidRPr="00FE7326">
        <w:rPr>
          <w:rFonts w:ascii="Arial" w:hAnsi="Arial" w:cs="Arial"/>
          <w:color w:val="000000"/>
          <w:lang w:val="en-US"/>
        </w:rPr>
        <w:t xml:space="preserve">RW (C; </w:t>
      </w:r>
      <w:proofErr w:type="spellStart"/>
      <w:r w:rsidRPr="00FE7326">
        <w:rPr>
          <w:rFonts w:ascii="Arial" w:hAnsi="Arial" w:cs="Arial"/>
          <w:color w:val="000000"/>
          <w:lang w:val="en-US"/>
        </w:rPr>
        <w:t>Ctr</w:t>
      </w:r>
      <w:proofErr w:type="spellEnd"/>
      <w:r w:rsidRPr="00FE7326">
        <w:rPr>
          <w:rFonts w:ascii="Arial" w:hAnsi="Arial" w:cs="Arial"/>
          <w:color w:val="000000"/>
          <w:lang w:val="en-US"/>
        </w:rPr>
        <w:t>) = 42 (-2;-6) dB [</w:t>
      </w:r>
      <w:proofErr w:type="spellStart"/>
      <w:r w:rsidRPr="00FE7326">
        <w:rPr>
          <w:rFonts w:ascii="Arial" w:hAnsi="Arial" w:cs="Arial"/>
          <w:color w:val="000000"/>
          <w:lang w:val="en-US"/>
        </w:rPr>
        <w:t>Vetro</w:t>
      </w:r>
      <w:proofErr w:type="spellEnd"/>
      <w:r w:rsidRPr="00FE7326">
        <w:rPr>
          <w:rFonts w:ascii="Arial" w:hAnsi="Arial" w:cs="Arial"/>
          <w:color w:val="000000"/>
          <w:lang w:val="en-US"/>
        </w:rPr>
        <w:t xml:space="preserve"> RW = 43 dB] </w:t>
      </w:r>
    </w:p>
    <w:p w:rsidR="00FE7326" w:rsidRPr="00FE7326" w:rsidRDefault="00AE7F9C" w:rsidP="00FE7326">
      <w:pPr>
        <w:spacing w:after="0" w:line="240" w:lineRule="auto"/>
        <w:jc w:val="both"/>
        <w:rPr>
          <w:rFonts w:ascii="Arial" w:hAnsi="Arial" w:cs="Arial"/>
          <w:color w:val="000000"/>
          <w:lang w:val="en-US"/>
        </w:rPr>
      </w:pPr>
      <w:r w:rsidRPr="00FE7326">
        <w:rPr>
          <w:rFonts w:ascii="Arial" w:hAnsi="Arial" w:cs="Arial"/>
          <w:color w:val="000000"/>
          <w:lang w:val="en-US"/>
        </w:rPr>
        <w:t xml:space="preserve">RW (C; </w:t>
      </w:r>
      <w:proofErr w:type="spellStart"/>
      <w:r w:rsidRPr="00FE7326">
        <w:rPr>
          <w:rFonts w:ascii="Arial" w:hAnsi="Arial" w:cs="Arial"/>
          <w:color w:val="000000"/>
          <w:lang w:val="en-US"/>
        </w:rPr>
        <w:t>Ctr</w:t>
      </w:r>
      <w:proofErr w:type="spellEnd"/>
      <w:r w:rsidRPr="00FE7326">
        <w:rPr>
          <w:rFonts w:ascii="Arial" w:hAnsi="Arial" w:cs="Arial"/>
          <w:color w:val="000000"/>
          <w:lang w:val="en-US"/>
        </w:rPr>
        <w:t>) = 44 (-2;-7) dB [</w:t>
      </w:r>
      <w:proofErr w:type="spellStart"/>
      <w:r w:rsidRPr="00FE7326">
        <w:rPr>
          <w:rFonts w:ascii="Arial" w:hAnsi="Arial" w:cs="Arial"/>
          <w:color w:val="000000"/>
          <w:lang w:val="en-US"/>
        </w:rPr>
        <w:t>Vetro</w:t>
      </w:r>
      <w:proofErr w:type="spellEnd"/>
      <w:r w:rsidRPr="00FE7326">
        <w:rPr>
          <w:rFonts w:ascii="Arial" w:hAnsi="Arial" w:cs="Arial"/>
          <w:color w:val="000000"/>
          <w:lang w:val="en-US"/>
        </w:rPr>
        <w:t xml:space="preserve"> RW = 47 dB] </w:t>
      </w:r>
    </w:p>
    <w:p w:rsidR="00FE7326" w:rsidRPr="00FE7326" w:rsidRDefault="00FE7326" w:rsidP="00FE7326">
      <w:pPr>
        <w:spacing w:after="0" w:line="240" w:lineRule="auto"/>
        <w:jc w:val="both"/>
        <w:rPr>
          <w:rFonts w:ascii="Arial" w:hAnsi="Arial" w:cs="Arial"/>
          <w:color w:val="000000"/>
          <w:lang w:val="en-US"/>
        </w:rPr>
      </w:pPr>
    </w:p>
    <w:p w:rsidR="00FE7326" w:rsidRPr="00FE7326" w:rsidRDefault="00FE7326" w:rsidP="00FE7326">
      <w:pPr>
        <w:pStyle w:val="Default"/>
        <w:numPr>
          <w:ilvl w:val="0"/>
          <w:numId w:val="1"/>
        </w:numPr>
        <w:jc w:val="both"/>
        <w:rPr>
          <w:rFonts w:ascii="Arial" w:hAnsi="Arial" w:cs="Arial"/>
          <w:b/>
          <w:sz w:val="22"/>
          <w:szCs w:val="22"/>
        </w:rPr>
      </w:pPr>
      <w:r w:rsidRPr="00FE7326">
        <w:rPr>
          <w:rFonts w:ascii="Arial" w:hAnsi="Arial" w:cs="Arial"/>
          <w:b/>
          <w:sz w:val="22"/>
          <w:szCs w:val="22"/>
        </w:rPr>
        <w:t xml:space="preserve">Prestazioni termiche </w:t>
      </w:r>
    </w:p>
    <w:p w:rsidR="00FE7326" w:rsidRPr="00FE7326" w:rsidRDefault="00FE7326" w:rsidP="00FE7326">
      <w:pPr>
        <w:jc w:val="both"/>
        <w:rPr>
          <w:rFonts w:ascii="Arial" w:hAnsi="Arial" w:cs="Arial"/>
          <w:color w:val="000000"/>
        </w:rPr>
      </w:pPr>
      <w:r w:rsidRPr="00FE7326">
        <w:rPr>
          <w:rFonts w:ascii="Arial" w:hAnsi="Arial" w:cs="Arial"/>
          <w:color w:val="000000"/>
        </w:rPr>
        <w:t>Il valore di trasmittanza termica del serramento dovrà essere calcolata secondo il procedimento indicato nelle norme di riferimento UNI EN ISO 10077-2 “Prestazione termica di finestre, porte e chiusure - Calcolo della trasmittanza termica – Metodo numerico per i telai”</w:t>
      </w:r>
    </w:p>
    <w:p w:rsidR="00FE7326" w:rsidRPr="00FE7326" w:rsidRDefault="00FE7326" w:rsidP="00FE7326">
      <w:pPr>
        <w:pStyle w:val="Default"/>
        <w:numPr>
          <w:ilvl w:val="0"/>
          <w:numId w:val="1"/>
        </w:numPr>
        <w:jc w:val="both"/>
        <w:rPr>
          <w:rFonts w:ascii="Arial" w:hAnsi="Arial" w:cs="Arial"/>
          <w:b/>
          <w:sz w:val="22"/>
          <w:szCs w:val="22"/>
        </w:rPr>
      </w:pPr>
      <w:r w:rsidRPr="00FE7326">
        <w:rPr>
          <w:rFonts w:ascii="Arial" w:hAnsi="Arial" w:cs="Arial"/>
          <w:b/>
          <w:sz w:val="22"/>
          <w:szCs w:val="22"/>
        </w:rPr>
        <w:t xml:space="preserve">Finiture superficiali </w:t>
      </w:r>
    </w:p>
    <w:p w:rsidR="00FE7326" w:rsidRPr="00FE7326" w:rsidRDefault="00FE7326" w:rsidP="00FE7326">
      <w:pPr>
        <w:jc w:val="both"/>
        <w:rPr>
          <w:rFonts w:ascii="Arial" w:hAnsi="Arial" w:cs="Arial"/>
          <w:color w:val="000000"/>
        </w:rPr>
      </w:pPr>
      <w:r w:rsidRPr="00FE7326">
        <w:rPr>
          <w:rFonts w:ascii="Arial" w:hAnsi="Arial" w:cs="Arial"/>
          <w:color w:val="000000"/>
        </w:rPr>
        <w:t>L’ossidazione anodica e l’</w:t>
      </w:r>
      <w:proofErr w:type="spellStart"/>
      <w:r w:rsidRPr="00FE7326">
        <w:rPr>
          <w:rFonts w:ascii="Arial" w:hAnsi="Arial" w:cs="Arial"/>
          <w:color w:val="000000"/>
        </w:rPr>
        <w:t>elettrocolorazione</w:t>
      </w:r>
      <w:proofErr w:type="spellEnd"/>
      <w:r w:rsidRPr="00FE7326">
        <w:rPr>
          <w:rFonts w:ascii="Arial" w:hAnsi="Arial" w:cs="Arial"/>
          <w:color w:val="000000"/>
        </w:rPr>
        <w:t xml:space="preserve"> dovrà rispondere a quanto previsto dal marchio “QUALITAL” ed alle specifiche tecniche del QUALANOD. Lo spessore dell’ossido dovrà appartenere alla classe 15 (15μm). La verniciatura dovrà rispondere a quanto previsto dal marchio “QUALITAL” ed alle specifiche tecniche del QUALICOAT.</w:t>
      </w:r>
    </w:p>
    <w:p w:rsidR="00FE7326" w:rsidRPr="00FE7326" w:rsidRDefault="00FE7326" w:rsidP="00FE7326">
      <w:pPr>
        <w:pStyle w:val="Default"/>
        <w:numPr>
          <w:ilvl w:val="0"/>
          <w:numId w:val="1"/>
        </w:numPr>
        <w:jc w:val="both"/>
        <w:rPr>
          <w:rFonts w:ascii="Arial" w:hAnsi="Arial" w:cs="Arial"/>
          <w:b/>
          <w:sz w:val="22"/>
          <w:szCs w:val="22"/>
        </w:rPr>
      </w:pPr>
      <w:r w:rsidRPr="00FE7326">
        <w:rPr>
          <w:rFonts w:ascii="Arial" w:hAnsi="Arial" w:cs="Arial"/>
          <w:b/>
          <w:sz w:val="22"/>
          <w:szCs w:val="22"/>
        </w:rPr>
        <w:t>Posa in opera</w:t>
      </w:r>
    </w:p>
    <w:p w:rsidR="00FE7326" w:rsidRPr="00FE7326" w:rsidRDefault="00FE7326" w:rsidP="00FE7326">
      <w:pPr>
        <w:jc w:val="both"/>
        <w:rPr>
          <w:rFonts w:ascii="Arial" w:hAnsi="Arial" w:cs="Arial"/>
          <w:color w:val="000000"/>
        </w:rPr>
      </w:pPr>
      <w:r w:rsidRPr="00FE7326">
        <w:rPr>
          <w:rFonts w:ascii="Arial" w:hAnsi="Arial" w:cs="Arial"/>
          <w:color w:val="000000"/>
        </w:rPr>
        <w:t xml:space="preserve">Le connessioni tra serramento e opera muraria che lo alloggia dovranno essere realizzate in modo da garantire la stabilità meccanica del giunto, la tenuta all’aria e all’acqua e da non compromettere le prestazioni di isolamento termico e acustico del serramento. La struttura del giunto dovrà inoltre consentire che le dilatazioni termiche del serramento e del struttura muraria adiacente non ne compromettano funzionalità e tenuta. Per la posa in opera dei serramenti si dovrà tenere conto delle raccomandazioni riportate sulla documentazione tecnica dell’UNICMI UX42 – “Guida alla posa in opera dei serramenti” e della norma UNI 11673 (2017). </w:t>
      </w:r>
    </w:p>
    <w:p w:rsidR="00FE7326" w:rsidRPr="00FE7326" w:rsidRDefault="00FE7326" w:rsidP="00FE7326">
      <w:pPr>
        <w:jc w:val="both"/>
        <w:rPr>
          <w:rFonts w:ascii="Arial" w:hAnsi="Arial" w:cs="Arial"/>
          <w:color w:val="000000"/>
        </w:rPr>
      </w:pPr>
      <w:r w:rsidRPr="00FE7326">
        <w:rPr>
          <w:rFonts w:ascii="Arial" w:hAnsi="Arial" w:cs="Arial"/>
          <w:color w:val="000000"/>
        </w:rPr>
        <w:t>Ai fini dell’immissione del prodotto finito sul mercato della Comunità Europea, ogni serramento dovrà essere marcato CE in conformità alla direttiva sui Prodotti da Costruzione 89/106/ CE ed alla relativa norma di prodotto EN 14351-1.</w:t>
      </w:r>
    </w:p>
    <w:p w:rsidR="002829B8" w:rsidRPr="002829B8" w:rsidRDefault="002829B8" w:rsidP="00FE7326">
      <w:pPr>
        <w:spacing w:after="0" w:line="240" w:lineRule="auto"/>
        <w:jc w:val="both"/>
        <w:rPr>
          <w:rFonts w:ascii="Helv" w:hAnsi="Helv" w:cs="Helv"/>
        </w:rPr>
      </w:pPr>
    </w:p>
    <w:sectPr w:rsidR="002829B8" w:rsidRPr="002829B8" w:rsidSect="002829B8">
      <w:headerReference w:type="default" r:id="rId7"/>
      <w:footerReference w:type="default" r:id="rId8"/>
      <w:type w:val="continuous"/>
      <w:pgSz w:w="11906" w:h="16838"/>
      <w:pgMar w:top="839" w:right="1416" w:bottom="1440" w:left="851"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71" w:rsidRDefault="00475471" w:rsidP="00A84950">
      <w:pPr>
        <w:spacing w:after="0" w:line="240" w:lineRule="auto"/>
      </w:pPr>
      <w:r>
        <w:separator/>
      </w:r>
    </w:p>
  </w:endnote>
  <w:endnote w:type="continuationSeparator" w:id="0">
    <w:p w:rsidR="00475471" w:rsidRDefault="00475471" w:rsidP="00A8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BWINY+ArialMT">
    <w:altName w:val="SBWINY+ArialM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3F3" w:rsidRDefault="003163F3" w:rsidP="00A84950">
    <w:pPr>
      <w:autoSpaceDE w:val="0"/>
      <w:autoSpaceDN w:val="0"/>
      <w:adjustRightInd w:val="0"/>
      <w:spacing w:after="0" w:line="240" w:lineRule="auto"/>
      <w:jc w:val="center"/>
      <w:rPr>
        <w:rFonts w:ascii="HelveticaNeueLTStd-Lt" w:hAnsi="HelveticaNeueLTStd-Lt" w:cs="HelveticaNeueLTStd-Lt"/>
        <w:color w:val="4D4D4D"/>
        <w:sz w:val="13"/>
        <w:szCs w:val="13"/>
      </w:rPr>
    </w:pPr>
  </w:p>
  <w:p w:rsidR="003163F3" w:rsidRPr="003163F3" w:rsidRDefault="003163F3" w:rsidP="003163F3">
    <w:pPr>
      <w:pStyle w:val="Pidipagina"/>
      <w:jc w:val="center"/>
      <w:rPr>
        <w:rFonts w:ascii="HelveticaNeueLTStd-Bd" w:hAnsi="HelveticaNeueLTStd-Bd" w:cs="HelveticaNeueLTStd-Bd"/>
        <w:b/>
        <w:color w:val="4D4D4D"/>
        <w:sz w:val="15"/>
        <w:szCs w:val="13"/>
      </w:rPr>
    </w:pPr>
  </w:p>
  <w:p w:rsidR="003163F3" w:rsidRPr="003163F3" w:rsidRDefault="003163F3" w:rsidP="00923202">
    <w:pPr>
      <w:pStyle w:val="Pidipagina"/>
      <w:ind w:left="567"/>
      <w:jc w:val="center"/>
      <w:rPr>
        <w:rFonts w:ascii="HelveticaNeueLTStd-Bd" w:hAnsi="HelveticaNeueLTStd-Bd" w:cs="HelveticaNeueLTStd-Bd"/>
        <w:color w:val="4D4D4D"/>
        <w:sz w:val="15"/>
        <w:szCs w:val="13"/>
      </w:rPr>
    </w:pPr>
    <w:r w:rsidRPr="003163F3">
      <w:rPr>
        <w:rFonts w:ascii="HelveticaNeueLTStd-Bd" w:hAnsi="HelveticaNeueLTStd-Bd" w:cs="HelveticaNeueLTStd-Bd"/>
        <w:b/>
        <w:color w:val="4D4D4D"/>
        <w:sz w:val="15"/>
        <w:szCs w:val="13"/>
      </w:rPr>
      <w:t>Sapa Building Systems S.p.A</w:t>
    </w:r>
    <w:r w:rsidRPr="001A45B5">
      <w:rPr>
        <w:rFonts w:ascii="HelveticaNeueLTStd-Bd" w:hAnsi="HelveticaNeueLTStd-Bd" w:cs="HelveticaNeueLTStd-Bd"/>
        <w:color w:val="4D4D4D"/>
        <w:sz w:val="15"/>
        <w:szCs w:val="13"/>
      </w:rPr>
      <w:t>.</w:t>
    </w:r>
    <w:r>
      <w:rPr>
        <w:rFonts w:ascii="HelveticaNeueLTStd-Bd" w:hAnsi="HelveticaNeueLTStd-Bd" w:cs="HelveticaNeueLTStd-Bd"/>
        <w:color w:val="4D4D4D"/>
        <w:sz w:val="15"/>
        <w:szCs w:val="13"/>
      </w:rPr>
      <w:t>- C</w:t>
    </w:r>
    <w:r w:rsidRPr="001A45B5">
      <w:rPr>
        <w:rFonts w:ascii="HelveticaNeueLTStd-Lt" w:hAnsi="HelveticaNeueLTStd-Lt" w:cs="HelveticaNeueLTStd-Lt"/>
        <w:color w:val="4D4D4D"/>
        <w:sz w:val="15"/>
        <w:szCs w:val="13"/>
      </w:rPr>
      <w:t xml:space="preserve">on socio unico </w:t>
    </w:r>
    <w:r w:rsidRPr="003163F3">
      <w:rPr>
        <w:rFonts w:ascii="HelveticaNeueLTStd-Bd" w:hAnsi="HelveticaNeueLTStd-Bd" w:cs="HelveticaNeueLTStd-Bd"/>
        <w:color w:val="4D4D4D"/>
        <w:sz w:val="15"/>
        <w:szCs w:val="13"/>
      </w:rPr>
      <w:t xml:space="preserve"> - Società soggetta ad attività di direzione e coordinamento da parte di SAPA AS - Oslo (NOR)</w:t>
    </w:r>
  </w:p>
  <w:p w:rsidR="00A84950" w:rsidRPr="001A45B5" w:rsidRDefault="00A84950" w:rsidP="00923202">
    <w:pPr>
      <w:autoSpaceDE w:val="0"/>
      <w:autoSpaceDN w:val="0"/>
      <w:adjustRightInd w:val="0"/>
      <w:spacing w:after="0" w:line="240" w:lineRule="auto"/>
      <w:ind w:left="567"/>
      <w:jc w:val="center"/>
      <w:rPr>
        <w:rFonts w:ascii="HelveticaNeueLTStd-Lt" w:hAnsi="HelveticaNeueLTStd-Lt" w:cs="HelveticaNeueLTStd-Lt"/>
        <w:color w:val="4D4D4D"/>
        <w:sz w:val="15"/>
        <w:szCs w:val="13"/>
      </w:rPr>
    </w:pPr>
    <w:r w:rsidRPr="001A45B5">
      <w:rPr>
        <w:rFonts w:ascii="HelveticaNeueLTStd-Lt" w:hAnsi="HelveticaNeueLTStd-Lt" w:cs="HelveticaNeueLTStd-Lt"/>
        <w:color w:val="4D4D4D"/>
        <w:sz w:val="15"/>
        <w:szCs w:val="13"/>
      </w:rPr>
      <w:t>Via A. Ponchielli, 3 - 20063 Cernusco sul Naviglio (MI) - Tel.: 02 924291 - Fax: 02 92429496</w:t>
    </w:r>
  </w:p>
  <w:p w:rsidR="00A84950" w:rsidRPr="001A45B5" w:rsidRDefault="00A84950" w:rsidP="00923202">
    <w:pPr>
      <w:autoSpaceDE w:val="0"/>
      <w:autoSpaceDN w:val="0"/>
      <w:adjustRightInd w:val="0"/>
      <w:spacing w:after="0" w:line="240" w:lineRule="auto"/>
      <w:ind w:left="567"/>
      <w:jc w:val="center"/>
      <w:rPr>
        <w:rFonts w:ascii="HelveticaNeueLTStd-Lt" w:hAnsi="HelveticaNeueLTStd-Lt" w:cs="HelveticaNeueLTStd-Lt"/>
        <w:color w:val="4D4D4D"/>
        <w:sz w:val="15"/>
        <w:szCs w:val="13"/>
      </w:rPr>
    </w:pPr>
    <w:r w:rsidRPr="001A45B5">
      <w:rPr>
        <w:rFonts w:ascii="HelveticaNeueLTStd-Lt" w:hAnsi="HelveticaNeueLTStd-Lt" w:cs="HelveticaNeueLTStd-Lt"/>
        <w:noProof/>
        <w:color w:val="4D4D4D"/>
        <w:sz w:val="15"/>
        <w:szCs w:val="13"/>
        <w:lang w:eastAsia="it-IT"/>
      </w:rPr>
      <mc:AlternateContent>
        <mc:Choice Requires="wps">
          <w:drawing>
            <wp:anchor distT="0" distB="0" distL="114300" distR="114300" simplePos="0" relativeHeight="251657216" behindDoc="0" locked="0" layoutInCell="1" allowOverlap="1" wp14:anchorId="427F533A" wp14:editId="29A8B86E">
              <wp:simplePos x="0" y="0"/>
              <wp:positionH relativeFrom="column">
                <wp:posOffset>69850</wp:posOffset>
              </wp:positionH>
              <wp:positionV relativeFrom="paragraph">
                <wp:posOffset>-334101</wp:posOffset>
              </wp:positionV>
              <wp:extent cx="6803390"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6803390" cy="0"/>
                      </a:xfrm>
                      <a:prstGeom prst="line">
                        <a:avLst/>
                      </a:prstGeom>
                      <a:ln w="12700">
                        <a:solidFill>
                          <a:srgbClr val="80C53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3FCA88" id="Straight Connector 3"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26.3pt" to="541.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" strokecolor="#80c535" strokeweight="1pt"/>
          </w:pict>
        </mc:Fallback>
      </mc:AlternateContent>
    </w:r>
    <w:r w:rsidRPr="001A45B5">
      <w:rPr>
        <w:rFonts w:ascii="HelveticaNeueLTStd-Lt" w:hAnsi="HelveticaNeueLTStd-Lt" w:cs="HelveticaNeueLTStd-Lt"/>
        <w:color w:val="4D4D4D"/>
        <w:sz w:val="15"/>
        <w:szCs w:val="13"/>
      </w:rPr>
      <w:t>Cod. Fiscale 01032640334 - P.I. 02086150964</w:t>
    </w:r>
    <w:r w:rsidR="001A45B5" w:rsidRPr="001A45B5">
      <w:rPr>
        <w:rFonts w:ascii="HelveticaNeueLTStd-Lt" w:hAnsi="HelveticaNeueLTStd-Lt" w:cs="HelveticaNeueLTStd-Lt"/>
        <w:color w:val="4D4D4D"/>
        <w:sz w:val="15"/>
        <w:szCs w:val="13"/>
      </w:rPr>
      <w:t xml:space="preserve"> </w:t>
    </w:r>
    <w:r w:rsidR="00204C38">
      <w:rPr>
        <w:rFonts w:ascii="HelveticaNeueLTStd-Lt" w:hAnsi="HelveticaNeueLTStd-Lt" w:cs="HelveticaNeueLTStd-Lt"/>
        <w:color w:val="4D4D4D"/>
        <w:sz w:val="15"/>
        <w:szCs w:val="13"/>
      </w:rPr>
      <w:t xml:space="preserve"> </w:t>
    </w:r>
    <w:r w:rsidRPr="001A45B5">
      <w:rPr>
        <w:rFonts w:ascii="HelveticaNeueLTStd-Lt" w:hAnsi="HelveticaNeueLTStd-Lt" w:cs="HelveticaNeueLTStd-Lt"/>
        <w:color w:val="4D4D4D"/>
        <w:sz w:val="15"/>
        <w:szCs w:val="13"/>
      </w:rPr>
      <w:t xml:space="preserve">R.E.A. n. MI-1351741 - Cap. Soc. </w:t>
    </w:r>
    <w:r w:rsidRPr="001A45B5">
      <w:rPr>
        <w:rFonts w:ascii="EuroSans-Regular" w:hAnsi="EuroSans-Regular" w:cs="EuroSans-Regular"/>
        <w:color w:val="4D4D4D"/>
        <w:sz w:val="15"/>
        <w:szCs w:val="13"/>
      </w:rPr>
      <w:t xml:space="preserve">_ </w:t>
    </w:r>
    <w:r w:rsidR="00973B0E">
      <w:rPr>
        <w:rFonts w:ascii="HelveticaNeueLTStd-Lt" w:hAnsi="HelveticaNeueLTStd-Lt" w:cs="HelveticaNeueLTStd-Lt"/>
        <w:color w:val="4D4D4D"/>
        <w:sz w:val="15"/>
        <w:szCs w:val="13"/>
      </w:rPr>
      <w:t>5</w:t>
    </w:r>
    <w:r w:rsidRPr="001A45B5">
      <w:rPr>
        <w:rFonts w:ascii="HelveticaNeueLTStd-Lt" w:hAnsi="HelveticaNeueLTStd-Lt" w:cs="HelveticaNeueLTStd-Lt"/>
        <w:color w:val="4D4D4D"/>
        <w:sz w:val="15"/>
        <w:szCs w:val="13"/>
      </w:rPr>
      <w:t>.</w:t>
    </w:r>
    <w:r w:rsidR="00973B0E">
      <w:rPr>
        <w:rFonts w:ascii="HelveticaNeueLTStd-Lt" w:hAnsi="HelveticaNeueLTStd-Lt" w:cs="HelveticaNeueLTStd-Lt"/>
        <w:color w:val="4D4D4D"/>
        <w:sz w:val="15"/>
        <w:szCs w:val="13"/>
      </w:rPr>
      <w:t>000</w:t>
    </w:r>
    <w:r w:rsidRPr="001A45B5">
      <w:rPr>
        <w:rFonts w:ascii="HelveticaNeueLTStd-Lt" w:hAnsi="HelveticaNeueLTStd-Lt" w:cs="HelveticaNeueLTStd-Lt"/>
        <w:color w:val="4D4D4D"/>
        <w:sz w:val="15"/>
        <w:szCs w:val="13"/>
      </w:rPr>
      <w:t>.</w:t>
    </w:r>
    <w:r w:rsidR="00973B0E">
      <w:rPr>
        <w:rFonts w:ascii="HelveticaNeueLTStd-Lt" w:hAnsi="HelveticaNeueLTStd-Lt" w:cs="HelveticaNeueLTStd-Lt"/>
        <w:color w:val="4D4D4D"/>
        <w:sz w:val="15"/>
        <w:szCs w:val="13"/>
      </w:rPr>
      <w:t>0</w:t>
    </w:r>
    <w:r w:rsidRPr="001A45B5">
      <w:rPr>
        <w:rFonts w:ascii="HelveticaNeueLTStd-Lt" w:hAnsi="HelveticaNeueLTStd-Lt" w:cs="HelveticaNeueLTStd-Lt"/>
        <w:color w:val="4D4D4D"/>
        <w:sz w:val="15"/>
        <w:szCs w:val="13"/>
      </w:rPr>
      <w:t xml:space="preserve">00,00 </w:t>
    </w:r>
    <w:proofErr w:type="spellStart"/>
    <w:r w:rsidRPr="001A45B5">
      <w:rPr>
        <w:rFonts w:ascii="HelveticaNeueLTStd-Lt" w:hAnsi="HelveticaNeueLTStd-Lt" w:cs="HelveticaNeueLTStd-Lt"/>
        <w:color w:val="4D4D4D"/>
        <w:sz w:val="15"/>
        <w:szCs w:val="13"/>
      </w:rPr>
      <w:t>i.v</w:t>
    </w:r>
    <w:proofErr w:type="spellEnd"/>
    <w:r w:rsidRPr="001A45B5">
      <w:rPr>
        <w:rFonts w:ascii="HelveticaNeueLTStd-Lt" w:hAnsi="HelveticaNeueLTStd-Lt" w:cs="HelveticaNeueLTStd-Lt"/>
        <w:color w:val="4D4D4D"/>
        <w:sz w:val="15"/>
        <w:szCs w:val="13"/>
      </w:rPr>
      <w:t>.</w:t>
    </w:r>
  </w:p>
  <w:p w:rsidR="00A84950" w:rsidRPr="001A45B5" w:rsidRDefault="00A84950" w:rsidP="00923202">
    <w:pPr>
      <w:pStyle w:val="Pidipagina"/>
      <w:ind w:left="567"/>
      <w:jc w:val="center"/>
      <w:rPr>
        <w:sz w:val="24"/>
      </w:rPr>
    </w:pPr>
    <w:r w:rsidRPr="001A45B5">
      <w:rPr>
        <w:rFonts w:ascii="HelveticaNeueLTStd-Lt" w:hAnsi="HelveticaNeueLTStd-Lt" w:cs="HelveticaNeueLTStd-Lt"/>
        <w:color w:val="4D4D4D"/>
        <w:sz w:val="15"/>
        <w:szCs w:val="13"/>
      </w:rPr>
      <w:t>www.domal.it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71" w:rsidRDefault="00475471" w:rsidP="00A84950">
      <w:pPr>
        <w:spacing w:after="0" w:line="240" w:lineRule="auto"/>
      </w:pPr>
      <w:r>
        <w:separator/>
      </w:r>
    </w:p>
  </w:footnote>
  <w:footnote w:type="continuationSeparator" w:id="0">
    <w:p w:rsidR="00475471" w:rsidRDefault="00475471" w:rsidP="00A84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B7" w:rsidRDefault="00B179EF">
    <w:pPr>
      <w:pStyle w:val="Intestazione"/>
      <w:rPr>
        <w:noProof/>
        <w:lang w:eastAsia="it-IT"/>
      </w:rPr>
    </w:pPr>
    <w:r>
      <w:rPr>
        <w:noProof/>
        <w:lang w:eastAsia="it-IT"/>
      </w:rPr>
      <w:drawing>
        <wp:anchor distT="0" distB="0" distL="114300" distR="114300" simplePos="0" relativeHeight="251661312" behindDoc="0" locked="0" layoutInCell="1" allowOverlap="0">
          <wp:simplePos x="0" y="0"/>
          <wp:positionH relativeFrom="column">
            <wp:posOffset>4959350</wp:posOffset>
          </wp:positionH>
          <wp:positionV relativeFrom="paragraph">
            <wp:posOffset>30480</wp:posOffset>
          </wp:positionV>
          <wp:extent cx="1889760" cy="689610"/>
          <wp:effectExtent l="0" t="0" r="0" b="0"/>
          <wp:wrapSquare wrapText="bothSides"/>
          <wp:docPr id="7" name="Immagine 7" descr="logo DOMAL (1A) piccolo 6 x 2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MAL (1A) piccolo 6 x 2 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84950">
      <w:rPr>
        <w:noProof/>
        <w:lang w:eastAsia="it-IT"/>
      </w:rPr>
      <w:t xml:space="preserve">         </w:t>
    </w:r>
  </w:p>
  <w:p w:rsidR="00B179EF" w:rsidRDefault="00B179EF">
    <w:pPr>
      <w:pStyle w:val="Intestazione"/>
      <w:rPr>
        <w:noProof/>
        <w:lang w:eastAsia="it-IT"/>
      </w:rPr>
    </w:pPr>
  </w:p>
  <w:p w:rsidR="00B179EF" w:rsidRDefault="00B179EF">
    <w:pPr>
      <w:pStyle w:val="Intestazione"/>
      <w:rPr>
        <w:noProof/>
        <w:lang w:eastAsia="it-IT"/>
      </w:rPr>
    </w:pPr>
  </w:p>
  <w:p w:rsidR="00B179EF" w:rsidRDefault="00B179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44CBC"/>
    <w:multiLevelType w:val="hybridMultilevel"/>
    <w:tmpl w:val="771254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0F40E1E"/>
    <w:multiLevelType w:val="hybridMultilevel"/>
    <w:tmpl w:val="DF4E4288"/>
    <w:lvl w:ilvl="0" w:tplc="27B229C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8B"/>
    <w:rsid w:val="001240B7"/>
    <w:rsid w:val="001A45B5"/>
    <w:rsid w:val="00204C38"/>
    <w:rsid w:val="002829B8"/>
    <w:rsid w:val="002C1794"/>
    <w:rsid w:val="003163F3"/>
    <w:rsid w:val="00352BE1"/>
    <w:rsid w:val="00411066"/>
    <w:rsid w:val="00454F13"/>
    <w:rsid w:val="0046240B"/>
    <w:rsid w:val="00475471"/>
    <w:rsid w:val="006C4C8B"/>
    <w:rsid w:val="007F3DBF"/>
    <w:rsid w:val="00856D8A"/>
    <w:rsid w:val="0088275D"/>
    <w:rsid w:val="00891B6C"/>
    <w:rsid w:val="00916B82"/>
    <w:rsid w:val="00923202"/>
    <w:rsid w:val="00973B0E"/>
    <w:rsid w:val="00A84950"/>
    <w:rsid w:val="00AE7F9C"/>
    <w:rsid w:val="00B1374E"/>
    <w:rsid w:val="00B179EF"/>
    <w:rsid w:val="00BB7A00"/>
    <w:rsid w:val="00C50588"/>
    <w:rsid w:val="00D85B94"/>
    <w:rsid w:val="00EB01B1"/>
    <w:rsid w:val="00F36787"/>
    <w:rsid w:val="00FE7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62800D"/>
  <w15:docId w15:val="{A319F718-679F-4303-B296-3715D628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style>
  <w:style w:type="paragraph" w:styleId="Titolo1">
    <w:name w:val="heading 1"/>
    <w:basedOn w:val="Normale"/>
    <w:next w:val="Normale"/>
    <w:link w:val="Titolo1Carattere"/>
    <w:uiPriority w:val="9"/>
    <w:qFormat/>
    <w:rsid w:val="00891B6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Titolo2">
    <w:name w:val="heading 2"/>
    <w:basedOn w:val="Normale"/>
    <w:link w:val="Titolo2Carattere"/>
    <w:uiPriority w:val="9"/>
    <w:qFormat/>
    <w:rsid w:val="00891B6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91B6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1B6C"/>
    <w:rPr>
      <w:rFonts w:asciiTheme="majorHAnsi" w:eastAsiaTheme="majorEastAsia" w:hAnsiTheme="majorHAnsi" w:cstheme="majorBidi"/>
      <w:b/>
      <w:bCs/>
      <w:color w:val="365F91" w:themeColor="accent1" w:themeShade="BF"/>
      <w:sz w:val="28"/>
      <w:szCs w:val="28"/>
      <w:lang w:val="en-US" w:eastAsia="ja-JP"/>
    </w:rPr>
  </w:style>
  <w:style w:type="character" w:customStyle="1" w:styleId="Titolo2Carattere">
    <w:name w:val="Titolo 2 Carattere"/>
    <w:basedOn w:val="Carpredefinitoparagrafo"/>
    <w:link w:val="Titolo2"/>
    <w:uiPriority w:val="9"/>
    <w:rsid w:val="00891B6C"/>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91B6C"/>
    <w:rPr>
      <w:rFonts w:ascii="Times New Roman" w:eastAsia="Times New Roman" w:hAnsi="Times New Roman" w:cs="Times New Roman"/>
      <w:b/>
      <w:bCs/>
      <w:sz w:val="27"/>
      <w:szCs w:val="27"/>
      <w:lang w:eastAsia="it-IT"/>
    </w:rPr>
  </w:style>
  <w:style w:type="paragraph" w:styleId="Nessunaspaziatura">
    <w:name w:val="No Spacing"/>
    <w:uiPriority w:val="1"/>
    <w:qFormat/>
    <w:rsid w:val="00891B6C"/>
    <w:pPr>
      <w:spacing w:after="0" w:line="240" w:lineRule="auto"/>
    </w:pPr>
  </w:style>
  <w:style w:type="paragraph" w:styleId="Paragrafoelenco">
    <w:name w:val="List Paragraph"/>
    <w:basedOn w:val="Normale"/>
    <w:uiPriority w:val="34"/>
    <w:qFormat/>
    <w:rsid w:val="00891B6C"/>
    <w:pPr>
      <w:ind w:left="720"/>
      <w:contextualSpacing/>
    </w:pPr>
  </w:style>
  <w:style w:type="paragraph" w:styleId="Intestazione">
    <w:name w:val="header"/>
    <w:basedOn w:val="Normale"/>
    <w:link w:val="IntestazioneCarattere"/>
    <w:uiPriority w:val="99"/>
    <w:unhideWhenUsed/>
    <w:rsid w:val="00A849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4950"/>
  </w:style>
  <w:style w:type="paragraph" w:styleId="Pidipagina">
    <w:name w:val="footer"/>
    <w:basedOn w:val="Normale"/>
    <w:link w:val="PidipaginaCarattere"/>
    <w:uiPriority w:val="8"/>
    <w:unhideWhenUsed/>
    <w:rsid w:val="00A849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8"/>
    <w:rsid w:val="00A84950"/>
  </w:style>
  <w:style w:type="paragraph" w:styleId="Testofumetto">
    <w:name w:val="Balloon Text"/>
    <w:basedOn w:val="Normale"/>
    <w:link w:val="TestofumettoCarattere"/>
    <w:uiPriority w:val="99"/>
    <w:semiHidden/>
    <w:unhideWhenUsed/>
    <w:rsid w:val="00A849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950"/>
    <w:rPr>
      <w:rFonts w:ascii="Tahoma" w:hAnsi="Tahoma" w:cs="Tahoma"/>
      <w:sz w:val="16"/>
      <w:szCs w:val="16"/>
    </w:rPr>
  </w:style>
  <w:style w:type="paragraph" w:customStyle="1" w:styleId="Default">
    <w:name w:val="Default"/>
    <w:rsid w:val="002829B8"/>
    <w:pPr>
      <w:autoSpaceDE w:val="0"/>
      <w:autoSpaceDN w:val="0"/>
      <w:adjustRightInd w:val="0"/>
      <w:spacing w:after="0" w:line="240" w:lineRule="auto"/>
    </w:pPr>
    <w:rPr>
      <w:rFonts w:ascii="SBWINY+ArialMT" w:hAnsi="SBWINY+ArialMT" w:cs="SBWINY+ArialMT"/>
      <w:color w:val="000000"/>
      <w:sz w:val="24"/>
      <w:szCs w:val="24"/>
    </w:rPr>
  </w:style>
  <w:style w:type="paragraph" w:customStyle="1" w:styleId="Pa0">
    <w:name w:val="Pa0"/>
    <w:basedOn w:val="Default"/>
    <w:next w:val="Default"/>
    <w:uiPriority w:val="99"/>
    <w:rsid w:val="002829B8"/>
    <w:pPr>
      <w:spacing w:line="241" w:lineRule="atLeast"/>
    </w:pPr>
    <w:rPr>
      <w:rFonts w:cstheme="minorBidi"/>
      <w:color w:val="auto"/>
    </w:rPr>
  </w:style>
  <w:style w:type="character" w:customStyle="1" w:styleId="A6">
    <w:name w:val="A6"/>
    <w:uiPriority w:val="99"/>
    <w:rsid w:val="002829B8"/>
    <w:rPr>
      <w:rFonts w:cs="SBWINY+ArialM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920</Words>
  <Characters>5246</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Hydro</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Magni</dc:creator>
  <cp:lastModifiedBy>Tabasso, Edoardo</cp:lastModifiedBy>
  <cp:revision>4</cp:revision>
  <cp:lastPrinted>2015-10-15T16:03:00Z</cp:lastPrinted>
  <dcterms:created xsi:type="dcterms:W3CDTF">2017-05-30T13:42:00Z</dcterms:created>
  <dcterms:modified xsi:type="dcterms:W3CDTF">2017-06-01T16:15:00Z</dcterms:modified>
</cp:coreProperties>
</file>