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2E" w:rsidRDefault="008F462E" w:rsidP="008F462E">
      <w:pPr>
        <w:autoSpaceDE w:val="0"/>
        <w:autoSpaceDN w:val="0"/>
        <w:adjustRightInd w:val="0"/>
        <w:ind w:right="-1"/>
        <w:jc w:val="both"/>
        <w:rPr>
          <w:rFonts w:ascii="Helv" w:hAnsi="Helv" w:cs="Helv"/>
          <w:color w:val="000000"/>
        </w:rPr>
      </w:pPr>
    </w:p>
    <w:p w:rsidR="008F462E" w:rsidRPr="003E7020" w:rsidRDefault="003E7020" w:rsidP="003E7020">
      <w:pPr>
        <w:autoSpaceDE w:val="0"/>
        <w:autoSpaceDN w:val="0"/>
        <w:adjustRightInd w:val="0"/>
        <w:ind w:left="-284" w:right="-1"/>
        <w:jc w:val="center"/>
        <w:rPr>
          <w:rFonts w:ascii="Helv" w:hAnsi="Helv" w:cs="Helv"/>
          <w:b/>
          <w:color w:val="000000"/>
        </w:rPr>
      </w:pPr>
      <w:r>
        <w:rPr>
          <w:rFonts w:ascii="Helv" w:hAnsi="Helv" w:cs="Helv"/>
          <w:b/>
          <w:color w:val="000000"/>
        </w:rPr>
        <w:t>CAPITOLATO FINESTRE BATTENTI DOMAL TOP TB</w:t>
      </w:r>
      <w:r>
        <w:rPr>
          <w:rFonts w:ascii="Helv" w:hAnsi="Helv" w:cs="Helv"/>
          <w:b/>
          <w:color w:val="000000"/>
        </w:rPr>
        <w:t>6</w:t>
      </w:r>
      <w:r w:rsidR="006319CF">
        <w:rPr>
          <w:rFonts w:ascii="Helv" w:hAnsi="Helv" w:cs="Helv"/>
          <w:b/>
          <w:color w:val="000000"/>
        </w:rPr>
        <w:t>5</w:t>
      </w:r>
      <w:bookmarkStart w:id="0" w:name="_GoBack"/>
      <w:bookmarkEnd w:id="0"/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>Struttura dei serramenti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 serramenti Domal TOP TB65 (o tecnicamente equivalenti) dovranno essere realizzati con profilati estrusi in lega d’alluminio primario EN AW 6060 da lavorazione plastica rispondenti alla normativa UNI-EN 573-3 sottoposti ad un processo di trattamento termico applicato secondo la normativa UNI-EN 755-2 (bonifica con tempra in aria alla pressa, seguita da invecchiamento artificiale) per ottenere lo stato fisico T66.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Le finestre avranno il telaio fisso di spessore 65 mm o 74,5 (telai complanari) e l’anta, complanare all’esterno ed a sormonto all’interno, avrà uno spessore di 74,5 mm.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Le alette di battuta e contenimento vetro dovranno avere una lunghezza di 20 mm.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Il serramento finito dovrà presentare la superficie esterna piana con fughe di 5mm tra un profilato e l’altro mentre all’interno il piano individuato dalle parti apribili potrà essere complanare o sporgere di circa 9.5mm rispetto a quello delle parti fisse.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Il sistema di tenuta all’aria sarà a “giunto aperto” con un’unica guarnizione centrale in EPDM a doppia densità inserita nel telaio fisso ed in appoggio diretto sul piano dell’anta. La guarnizione sarà montata senza soluzione di continuità , ma la continuità in corrispondenza degli angoli sarà assicurata mediante l’utilizzo di angoli preformati in EPDM della guarnizione stessa.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Quest’ultima consentirà al sistema di avere delle prestazione di tenuta agli agenti atmosferici molto elevate, riducendo le infiltrazioni d’aria.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>Isolamento termico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 profilati delle finestre saranno di tipo isolato avendo la sagoma composta da due estrusi in alluminio collegati meccanicamente e separati termicamente mediante listelli in materiale plastico che ridurranno lo scambio termico tra le masse metalliche.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L’interruzione del ponte termico sarà ottenuta dall’interposizione dei listelli separatori composti da poliammide rinforzato con fibra di vetro e saranno caratterizzati da un basso valore di conduttività termica e da guarnizioni in EPDM a doppia densità, la dimensione dei listelli è di 30mm di profondità e il loro bloccaggio è meccanico con rullatura dall’esterno previa zigrinatura delle sedi di alluminio per evitare scorrimenti. Questo sistema consentirà di avere delle prestazioni di isolamento termico molte elevate, riducendo i consumi energetici di riscaldamento invernale e climatizzazione estiva.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E7020">
        <w:rPr>
          <w:b/>
          <w:sz w:val="22"/>
          <w:szCs w:val="22"/>
        </w:rPr>
        <w:t>Drenaggio acqua e ventilazione vetri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Nella traversa inferiore dovranno essere praticate le asole per lo scarico dell’acqua; gli angoli dovranno essere sigillati con mastici per evitare le infiltrazioni di aria e di acqua.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Nella traversa inferiore delle ante mobili, nel caso di utilizzo di vetri isolanti, dovranno essere praticati dei fori di aerazione per la zona perimetrale del vetro.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Le lavorazioni dovranno essere eseguite come prescritto nei manuali del produttore del sistema.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3E7020">
        <w:rPr>
          <w:b/>
          <w:sz w:val="22"/>
          <w:szCs w:val="22"/>
        </w:rPr>
        <w:lastRenderedPageBreak/>
        <w:t>Vetrazione</w:t>
      </w:r>
      <w:proofErr w:type="spellEnd"/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 xml:space="preserve">I </w:t>
      </w:r>
      <w:proofErr w:type="spellStart"/>
      <w:r w:rsidRPr="003E7020">
        <w:rPr>
          <w:rFonts w:ascii="Arial" w:hAnsi="Arial" w:cs="Arial"/>
          <w:color w:val="000000"/>
        </w:rPr>
        <w:t>fermavetri</w:t>
      </w:r>
      <w:proofErr w:type="spellEnd"/>
      <w:r w:rsidRPr="003E7020">
        <w:rPr>
          <w:rFonts w:ascii="Arial" w:hAnsi="Arial" w:cs="Arial"/>
          <w:color w:val="000000"/>
        </w:rPr>
        <w:t xml:space="preserve"> saranno installati mediante uno scatto ottenuto per elasticità del materiale o a contrasto e hanno sedi per l’inserimento delle guarnizioni di tenuta del vetro. Accessori e guarnizioni dovranno essere quelli studiati e realizzati per la serie.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>Accessori e guarnizioni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A garanzia della qualità del prodotto finito, gli accessori e le guarnizioni dovranno essere tutti originali del sistema come indicato sui manuali del produttore e rispondenti alle norme UNI ed alle disposizioni in materia di sicurezza DL. 626 e DL. 242. Gli accessori e le guarnizioni hanno caratteristiche tali da conferire al serramento la resistenza meccanica, la stabilità e la funzionalità per le condizioni di uso e sollecitazione a cui è destinato. I materiali costituenti gli accessori sono compatibili con quelli delle superfici con cui vengono posti a contatto.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>Sigillanti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Tali materiali non corrodono le parti in alluminio e sue leghe con cui vengono in contatto. I sigillanti garantiscono al serramento le prestazioni di tenuta all’acqua, tenuta all’aria, tenuta alla polvere e la realizzazione di continuità elastica durevole nel tempo tra due supporti in movimento, sono compatibili con i materiali con cui vengono in contatto e sono conformi alle norme di riferimento UNI 9610/00, UNI 9611, UNI 3952/00.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>Prestazioni agli agenti atmosferici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Il serramento fornito dovrà possedere un certificato che attesti le seguenti prestazioni :</w:t>
      </w:r>
    </w:p>
    <w:p w:rsidR="008F462E" w:rsidRPr="003E7020" w:rsidRDefault="008F462E" w:rsidP="00000BB6">
      <w:pPr>
        <w:spacing w:after="0" w:line="240" w:lineRule="auto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3E7020">
        <w:rPr>
          <w:rFonts w:ascii="Arial" w:hAnsi="Arial" w:cs="Arial"/>
          <w:color w:val="000000"/>
          <w:lang w:val="fr-FR"/>
        </w:rPr>
        <w:t>Permeabilità</w:t>
      </w:r>
      <w:proofErr w:type="spellEnd"/>
      <w:r w:rsidRPr="003E7020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3E7020">
        <w:rPr>
          <w:rFonts w:ascii="Arial" w:hAnsi="Arial" w:cs="Arial"/>
          <w:color w:val="000000"/>
          <w:lang w:val="fr-FR"/>
        </w:rPr>
        <w:t>all’aria</w:t>
      </w:r>
      <w:proofErr w:type="spellEnd"/>
      <w:r w:rsidRPr="003E7020">
        <w:rPr>
          <w:rFonts w:ascii="Arial" w:hAnsi="Arial" w:cs="Arial"/>
          <w:color w:val="000000"/>
          <w:lang w:val="fr-FR"/>
        </w:rPr>
        <w:t xml:space="preserve">: classe 4 (UNI EN 12207 – UNI EN 1026) </w:t>
      </w:r>
    </w:p>
    <w:p w:rsidR="008F462E" w:rsidRPr="003E7020" w:rsidRDefault="008F462E" w:rsidP="00000B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 xml:space="preserve">Tenuta all’acqua: classe E 1500 (UNI EN 12208 – UNI EN 1027) </w:t>
      </w:r>
    </w:p>
    <w:p w:rsidR="008F462E" w:rsidRDefault="008F462E" w:rsidP="00000B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 xml:space="preserve">Resistenza al carico del vento: classe C5 (UNI EN 12210 – UNI EN 12211) </w:t>
      </w:r>
    </w:p>
    <w:p w:rsidR="00000BB6" w:rsidRPr="003E7020" w:rsidRDefault="00000BB6" w:rsidP="00000B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 xml:space="preserve">Prestazioni acustiche 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 xml:space="preserve">Il serramento, dovrà avere un indice di valutazione del potere fonoisolante </w:t>
      </w:r>
      <w:proofErr w:type="spellStart"/>
      <w:r w:rsidRPr="003E7020">
        <w:rPr>
          <w:rFonts w:ascii="Arial" w:hAnsi="Arial" w:cs="Arial"/>
          <w:color w:val="000000"/>
        </w:rPr>
        <w:t>Rw</w:t>
      </w:r>
      <w:proofErr w:type="spellEnd"/>
      <w:r w:rsidRPr="003E7020">
        <w:rPr>
          <w:rFonts w:ascii="Arial" w:hAnsi="Arial" w:cs="Arial"/>
          <w:color w:val="000000"/>
        </w:rPr>
        <w:t xml:space="preserve"> correlato alla destinazione d’uso del locale nel quale l’infisso dovrà essere inserito ed al livello del rumore esterno come prescritto dalla “Legge quadro sull’inquinamento acustico” – Legge 26 ottobre 1995 n° 447 – e dal successivo DPCM del 5 dicembre 1997. I valori di isolamento acustico ottenuti secondo la norma UNI EN 10140-3 (2010) – UNI EN ISO 717-1 (2013) saranno i seguenti:</w:t>
      </w:r>
    </w:p>
    <w:p w:rsidR="008F462E" w:rsidRPr="003E7020" w:rsidRDefault="008F462E" w:rsidP="003E7020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E7020">
        <w:rPr>
          <w:rFonts w:ascii="Arial" w:hAnsi="Arial" w:cs="Arial"/>
          <w:color w:val="000000"/>
          <w:lang w:val="en-US"/>
        </w:rPr>
        <w:t xml:space="preserve">RW (C; </w:t>
      </w:r>
      <w:proofErr w:type="spellStart"/>
      <w:r w:rsidRPr="003E7020">
        <w:rPr>
          <w:rFonts w:ascii="Arial" w:hAnsi="Arial" w:cs="Arial"/>
          <w:color w:val="000000"/>
          <w:lang w:val="en-US"/>
        </w:rPr>
        <w:t>Ctr</w:t>
      </w:r>
      <w:proofErr w:type="spellEnd"/>
      <w:r w:rsidRPr="003E7020">
        <w:rPr>
          <w:rFonts w:ascii="Arial" w:hAnsi="Arial" w:cs="Arial"/>
          <w:color w:val="000000"/>
          <w:lang w:val="en-US"/>
        </w:rPr>
        <w:t>) = 42 (-2;-6) dB [</w:t>
      </w:r>
      <w:proofErr w:type="spellStart"/>
      <w:r w:rsidRPr="003E7020">
        <w:rPr>
          <w:rFonts w:ascii="Arial" w:hAnsi="Arial" w:cs="Arial"/>
          <w:color w:val="000000"/>
          <w:lang w:val="en-US"/>
        </w:rPr>
        <w:t>Vetro</w:t>
      </w:r>
      <w:proofErr w:type="spellEnd"/>
      <w:r w:rsidRPr="003E7020">
        <w:rPr>
          <w:rFonts w:ascii="Arial" w:hAnsi="Arial" w:cs="Arial"/>
          <w:color w:val="000000"/>
          <w:lang w:val="en-US"/>
        </w:rPr>
        <w:t xml:space="preserve"> RW = 43 dB] </w:t>
      </w:r>
    </w:p>
    <w:p w:rsidR="008F462E" w:rsidRPr="003E7020" w:rsidRDefault="008F462E" w:rsidP="003E7020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E7020">
        <w:rPr>
          <w:rFonts w:ascii="Arial" w:hAnsi="Arial" w:cs="Arial"/>
          <w:color w:val="000000"/>
          <w:lang w:val="en-US"/>
        </w:rPr>
        <w:t xml:space="preserve">RW (C; </w:t>
      </w:r>
      <w:proofErr w:type="spellStart"/>
      <w:r w:rsidRPr="003E7020">
        <w:rPr>
          <w:rFonts w:ascii="Arial" w:hAnsi="Arial" w:cs="Arial"/>
          <w:color w:val="000000"/>
          <w:lang w:val="en-US"/>
        </w:rPr>
        <w:t>Ctr</w:t>
      </w:r>
      <w:proofErr w:type="spellEnd"/>
      <w:r w:rsidRPr="003E7020">
        <w:rPr>
          <w:rFonts w:ascii="Arial" w:hAnsi="Arial" w:cs="Arial"/>
          <w:color w:val="000000"/>
          <w:lang w:val="en-US"/>
        </w:rPr>
        <w:t>) = 44 (-2;-7) dB [</w:t>
      </w:r>
      <w:proofErr w:type="spellStart"/>
      <w:r w:rsidRPr="003E7020">
        <w:rPr>
          <w:rFonts w:ascii="Arial" w:hAnsi="Arial" w:cs="Arial"/>
          <w:color w:val="000000"/>
          <w:lang w:val="en-US"/>
        </w:rPr>
        <w:t>Vetro</w:t>
      </w:r>
      <w:proofErr w:type="spellEnd"/>
      <w:r w:rsidRPr="003E7020">
        <w:rPr>
          <w:rFonts w:ascii="Arial" w:hAnsi="Arial" w:cs="Arial"/>
          <w:color w:val="000000"/>
          <w:lang w:val="en-US"/>
        </w:rPr>
        <w:t xml:space="preserve"> RW = 47 dB] </w:t>
      </w:r>
    </w:p>
    <w:p w:rsidR="003E7020" w:rsidRPr="003E7020" w:rsidRDefault="003E7020" w:rsidP="003E7020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 xml:space="preserve">Prestazioni termiche 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Il valore di trasmittanza termica del serramento dovrà essere calcolata secondo il procedimento indicato nelle norme di riferimento UNI EN ISO 10077-2 “Prestazione termica di finestre, porte e chiusure - Calcolo della trasmittanza termica – Metodo numerico per i telai”</w:t>
      </w: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t xml:space="preserve">Finiture superficiali </w:t>
      </w:r>
    </w:p>
    <w:p w:rsidR="008F462E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L’ossidazione anodica e l’</w:t>
      </w:r>
      <w:proofErr w:type="spellStart"/>
      <w:r w:rsidRPr="003E7020">
        <w:rPr>
          <w:rFonts w:ascii="Arial" w:hAnsi="Arial" w:cs="Arial"/>
          <w:color w:val="000000"/>
        </w:rPr>
        <w:t>elettrocolorazione</w:t>
      </w:r>
      <w:proofErr w:type="spellEnd"/>
      <w:r w:rsidRPr="003E7020">
        <w:rPr>
          <w:rFonts w:ascii="Arial" w:hAnsi="Arial" w:cs="Arial"/>
          <w:color w:val="000000"/>
        </w:rPr>
        <w:t xml:space="preserve"> dovrà rispondere a quanto previsto dal marchio “QUALITAL” ed alle specifiche tecniche del QUALANOD. Lo spessore dell’ossido dovrà appartenere alla classe 15 (15μm). La verniciatura dovrà rispondere a quanto previsto dal marchio “QUALITAL” ed alle specifiche tecniche del QUALICOAT.</w:t>
      </w:r>
    </w:p>
    <w:p w:rsidR="00000BB6" w:rsidRPr="003E7020" w:rsidRDefault="00000BB6" w:rsidP="008F462E">
      <w:pPr>
        <w:jc w:val="both"/>
        <w:rPr>
          <w:rFonts w:ascii="Arial" w:hAnsi="Arial" w:cs="Arial"/>
          <w:color w:val="000000"/>
        </w:rPr>
      </w:pPr>
    </w:p>
    <w:p w:rsidR="008F462E" w:rsidRPr="003E7020" w:rsidRDefault="008F462E" w:rsidP="003E7020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3E7020">
        <w:rPr>
          <w:b/>
          <w:sz w:val="22"/>
          <w:szCs w:val="22"/>
        </w:rPr>
        <w:lastRenderedPageBreak/>
        <w:t>Posa in opera</w:t>
      </w:r>
    </w:p>
    <w:p w:rsidR="008F462E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 xml:space="preserve">Le connessioni tra serramento e opera muraria che lo alloggia dovranno essere realizzate in modo da garantire la stabilità meccanica del giunto, la tenuta all’aria e all’acqua e da non compromettere le prestazioni di isolamento termico e acustico del serramento. La struttura del giunto dovrà inoltre consentire che le dilatazioni termiche del serramento e del struttura muraria adiacente non ne compromettano funzionalità e tenuta. Per la posa in opera dei serramenti si dovrà tenere conto delle raccomandazioni riportate sulla documentazione tecnica dell’UNICMI UX42 – “Guida alla posa in opera dei serramenti” e della norma UNI 11673 (2017). </w:t>
      </w:r>
    </w:p>
    <w:p w:rsidR="00C50588" w:rsidRPr="003E7020" w:rsidRDefault="008F462E" w:rsidP="008F462E">
      <w:pPr>
        <w:jc w:val="both"/>
        <w:rPr>
          <w:rFonts w:ascii="Arial" w:hAnsi="Arial" w:cs="Arial"/>
          <w:color w:val="000000"/>
        </w:rPr>
      </w:pPr>
      <w:r w:rsidRPr="003E7020">
        <w:rPr>
          <w:rFonts w:ascii="Arial" w:hAnsi="Arial" w:cs="Arial"/>
          <w:color w:val="000000"/>
        </w:rPr>
        <w:t>Ai fini dell’immissione del prodotto finito sul mercato della Comunità Europea, ogni serramento dovrà essere marcato CE in conformità alla direttiva sui Prodotti da Costruzione 89/106/ CE ed alla relativa norma di prodotto EN 14351-1.</w:t>
      </w:r>
    </w:p>
    <w:sectPr w:rsidR="00C50588" w:rsidRPr="003E7020" w:rsidSect="008F462E">
      <w:headerReference w:type="default" r:id="rId7"/>
      <w:footerReference w:type="default" r:id="rId8"/>
      <w:type w:val="continuous"/>
      <w:pgSz w:w="11906" w:h="16838"/>
      <w:pgMar w:top="839" w:right="1416" w:bottom="1440" w:left="851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71" w:rsidRDefault="00475471" w:rsidP="00A84950">
      <w:pPr>
        <w:spacing w:after="0" w:line="240" w:lineRule="auto"/>
      </w:pPr>
      <w:r>
        <w:separator/>
      </w:r>
    </w:p>
  </w:endnote>
  <w:end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F3" w:rsidRDefault="003163F3" w:rsidP="00A84950">
    <w:pPr>
      <w:autoSpaceDE w:val="0"/>
      <w:autoSpaceDN w:val="0"/>
      <w:adjustRightInd w:val="0"/>
      <w:spacing w:after="0" w:line="240" w:lineRule="auto"/>
      <w:jc w:val="center"/>
      <w:rPr>
        <w:rFonts w:ascii="HelveticaNeueLTStd-Lt" w:hAnsi="HelveticaNeueLTStd-Lt" w:cs="HelveticaNeueLTStd-Lt"/>
        <w:color w:val="4D4D4D"/>
        <w:sz w:val="13"/>
        <w:szCs w:val="13"/>
      </w:rPr>
    </w:pPr>
  </w:p>
  <w:p w:rsidR="003163F3" w:rsidRPr="003163F3" w:rsidRDefault="003163F3" w:rsidP="003163F3">
    <w:pPr>
      <w:pStyle w:val="Pidipagina"/>
      <w:jc w:val="center"/>
      <w:rPr>
        <w:rFonts w:ascii="HelveticaNeueLTStd-Bd" w:hAnsi="HelveticaNeueLTStd-Bd" w:cs="HelveticaNeueLTStd-Bd"/>
        <w:b/>
        <w:color w:val="4D4D4D"/>
        <w:sz w:val="15"/>
        <w:szCs w:val="13"/>
      </w:rPr>
    </w:pPr>
  </w:p>
  <w:p w:rsidR="003163F3" w:rsidRPr="003163F3" w:rsidRDefault="003163F3" w:rsidP="00923202">
    <w:pPr>
      <w:pStyle w:val="Pidipagina"/>
      <w:ind w:left="567"/>
      <w:jc w:val="center"/>
      <w:rPr>
        <w:rFonts w:ascii="HelveticaNeueLTStd-Bd" w:hAnsi="HelveticaNeueLTStd-Bd" w:cs="HelveticaNeueLTStd-Bd"/>
        <w:color w:val="4D4D4D"/>
        <w:sz w:val="15"/>
        <w:szCs w:val="13"/>
      </w:rPr>
    </w:pPr>
    <w:r w:rsidRPr="003163F3">
      <w:rPr>
        <w:rFonts w:ascii="HelveticaNeueLTStd-Bd" w:hAnsi="HelveticaNeueLTStd-Bd" w:cs="HelveticaNeueLTStd-Bd"/>
        <w:b/>
        <w:color w:val="4D4D4D"/>
        <w:sz w:val="15"/>
        <w:szCs w:val="13"/>
      </w:rPr>
      <w:t>Sapa Building Systems S.p.A</w:t>
    </w:r>
    <w:r w:rsidRPr="001A45B5">
      <w:rPr>
        <w:rFonts w:ascii="HelveticaNeueLTStd-Bd" w:hAnsi="HelveticaNeueLTStd-Bd" w:cs="HelveticaNeueLTStd-Bd"/>
        <w:color w:val="4D4D4D"/>
        <w:sz w:val="15"/>
        <w:szCs w:val="13"/>
      </w:rPr>
      <w:t>.</w:t>
    </w:r>
    <w:r>
      <w:rPr>
        <w:rFonts w:ascii="HelveticaNeueLTStd-Bd" w:hAnsi="HelveticaNeueLTStd-Bd" w:cs="HelveticaNeueLTStd-Bd"/>
        <w:color w:val="4D4D4D"/>
        <w:sz w:val="15"/>
        <w:szCs w:val="13"/>
      </w:rPr>
      <w:t>- C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on socio unico </w:t>
    </w:r>
    <w:r w:rsidRPr="003163F3">
      <w:rPr>
        <w:rFonts w:ascii="HelveticaNeueLTStd-Bd" w:hAnsi="HelveticaNeueLTStd-Bd" w:cs="HelveticaNeueLTStd-Bd"/>
        <w:color w:val="4D4D4D"/>
        <w:sz w:val="15"/>
        <w:szCs w:val="13"/>
      </w:rPr>
      <w:t xml:space="preserve"> - Società soggetta ad attività di direzione e coordinamento da parte di SAPA AS - Oslo (NOR)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Via A. Ponchielli, 3 - 20063 Cernusco sul Naviglio (MI) - Tel.: 02 924291 - Fax: 02 92429496</w:t>
    </w:r>
  </w:p>
  <w:p w:rsidR="00A84950" w:rsidRPr="001A45B5" w:rsidRDefault="00A84950" w:rsidP="00923202">
    <w:pPr>
      <w:autoSpaceDE w:val="0"/>
      <w:autoSpaceDN w:val="0"/>
      <w:adjustRightInd w:val="0"/>
      <w:spacing w:after="0" w:line="240" w:lineRule="auto"/>
      <w:ind w:left="567"/>
      <w:jc w:val="center"/>
      <w:rPr>
        <w:rFonts w:ascii="HelveticaNeueLTStd-Lt" w:hAnsi="HelveticaNeueLTStd-Lt" w:cs="HelveticaNeueLTStd-Lt"/>
        <w:color w:val="4D4D4D"/>
        <w:sz w:val="15"/>
        <w:szCs w:val="13"/>
      </w:rPr>
    </w:pPr>
    <w:r w:rsidRPr="001A45B5">
      <w:rPr>
        <w:rFonts w:ascii="HelveticaNeueLTStd-Lt" w:hAnsi="HelveticaNeueLTStd-Lt" w:cs="HelveticaNeueLTStd-Lt"/>
        <w:noProof/>
        <w:color w:val="4D4D4D"/>
        <w:sz w:val="15"/>
        <w:szCs w:val="13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7F533A" wp14:editId="29A8B86E">
              <wp:simplePos x="0" y="0"/>
              <wp:positionH relativeFrom="column">
                <wp:posOffset>69850</wp:posOffset>
              </wp:positionH>
              <wp:positionV relativeFrom="paragraph">
                <wp:posOffset>-334101</wp:posOffset>
              </wp:positionV>
              <wp:extent cx="6803390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0C5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3E857" id="Straight Connector 3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5pt,-26.3pt" to="541.2pt,-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" strokecolor="#80c535" strokeweight="1pt"/>
          </w:pict>
        </mc:Fallback>
      </mc:AlternateConten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Cod. Fiscale 01032640334 - P.I. 02086150964</w:t>
    </w:r>
    <w:r w:rsidR="001A45B5"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="00204C38">
      <w:rPr>
        <w:rFonts w:ascii="HelveticaNeueLTStd-Lt" w:hAnsi="HelveticaNeueLTStd-Lt" w:cs="HelveticaNeueLTStd-Lt"/>
        <w:color w:val="4D4D4D"/>
        <w:sz w:val="15"/>
        <w:szCs w:val="13"/>
      </w:rPr>
      <w:t xml:space="preserve"> 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R.E.A. n. MI-1351741 - Cap. Soc. </w:t>
    </w:r>
    <w:r w:rsidRPr="001A45B5">
      <w:rPr>
        <w:rFonts w:ascii="EuroSans-Regular" w:hAnsi="EuroSans-Regular" w:cs="EuroSans-Regular"/>
        <w:color w:val="4D4D4D"/>
        <w:sz w:val="15"/>
        <w:szCs w:val="13"/>
      </w:rPr>
      <w:t xml:space="preserve">_ 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5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000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  <w:r w:rsidR="00973B0E">
      <w:rPr>
        <w:rFonts w:ascii="HelveticaNeueLTStd-Lt" w:hAnsi="HelveticaNeueLTStd-Lt" w:cs="HelveticaNeueLTStd-Lt"/>
        <w:color w:val="4D4D4D"/>
        <w:sz w:val="15"/>
        <w:szCs w:val="13"/>
      </w:rPr>
      <w:t>0</w:t>
    </w:r>
    <w:r w:rsidRPr="001A45B5">
      <w:rPr>
        <w:rFonts w:ascii="HelveticaNeueLTStd-Lt" w:hAnsi="HelveticaNeueLTStd-Lt" w:cs="HelveticaNeueLTStd-Lt"/>
        <w:color w:val="4D4D4D"/>
        <w:sz w:val="15"/>
        <w:szCs w:val="13"/>
      </w:rPr>
      <w:t xml:space="preserve">00,00 </w:t>
    </w:r>
    <w:proofErr w:type="spellStart"/>
    <w:r w:rsidRPr="001A45B5">
      <w:rPr>
        <w:rFonts w:ascii="HelveticaNeueLTStd-Lt" w:hAnsi="HelveticaNeueLTStd-Lt" w:cs="HelveticaNeueLTStd-Lt"/>
        <w:color w:val="4D4D4D"/>
        <w:sz w:val="15"/>
        <w:szCs w:val="13"/>
      </w:rPr>
      <w:t>i.v</w:t>
    </w:r>
    <w:proofErr w:type="spellEnd"/>
    <w:r w:rsidRPr="001A45B5">
      <w:rPr>
        <w:rFonts w:ascii="HelveticaNeueLTStd-Lt" w:hAnsi="HelveticaNeueLTStd-Lt" w:cs="HelveticaNeueLTStd-Lt"/>
        <w:color w:val="4D4D4D"/>
        <w:sz w:val="15"/>
        <w:szCs w:val="13"/>
      </w:rPr>
      <w:t>.</w:t>
    </w:r>
  </w:p>
  <w:p w:rsidR="00A84950" w:rsidRPr="001A45B5" w:rsidRDefault="00A84950" w:rsidP="00923202">
    <w:pPr>
      <w:pStyle w:val="Pidipagina"/>
      <w:ind w:left="567"/>
      <w:jc w:val="center"/>
      <w:rPr>
        <w:sz w:val="24"/>
      </w:rPr>
    </w:pPr>
    <w:r w:rsidRPr="001A45B5">
      <w:rPr>
        <w:rFonts w:ascii="HelveticaNeueLTStd-Lt" w:hAnsi="HelveticaNeueLTStd-Lt" w:cs="HelveticaNeueLTStd-Lt"/>
        <w:color w:val="4D4D4D"/>
        <w:sz w:val="15"/>
        <w:szCs w:val="13"/>
      </w:rPr>
      <w:t>www.domal.it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71" w:rsidRDefault="00475471" w:rsidP="00A84950">
      <w:pPr>
        <w:spacing w:after="0" w:line="240" w:lineRule="auto"/>
      </w:pPr>
      <w:r>
        <w:separator/>
      </w:r>
    </w:p>
  </w:footnote>
  <w:footnote w:type="continuationSeparator" w:id="0">
    <w:p w:rsidR="00475471" w:rsidRDefault="00475471" w:rsidP="00A8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B7" w:rsidRDefault="00B179E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889760" cy="689610"/>
          <wp:effectExtent l="0" t="0" r="0" b="0"/>
          <wp:wrapSquare wrapText="bothSides"/>
          <wp:docPr id="5" name="Immagine 5" descr="logo DOMAL (1A) piccolo 6 x 2 c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L (1A) piccolo 6 x 2 cm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950">
      <w:rPr>
        <w:noProof/>
        <w:lang w:eastAsia="it-IT"/>
      </w:rPr>
      <w:t xml:space="preserve">         </w:t>
    </w: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  <w:rPr>
        <w:noProof/>
        <w:lang w:eastAsia="it-IT"/>
      </w:rPr>
    </w:pPr>
  </w:p>
  <w:p w:rsidR="00B179EF" w:rsidRDefault="00B179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44CBC"/>
    <w:multiLevelType w:val="hybridMultilevel"/>
    <w:tmpl w:val="771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40E1E"/>
    <w:multiLevelType w:val="hybridMultilevel"/>
    <w:tmpl w:val="3B0E0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B"/>
    <w:rsid w:val="00000BB6"/>
    <w:rsid w:val="001240B7"/>
    <w:rsid w:val="001A45B5"/>
    <w:rsid w:val="00204C38"/>
    <w:rsid w:val="002C1794"/>
    <w:rsid w:val="003163F3"/>
    <w:rsid w:val="003E7020"/>
    <w:rsid w:val="00411066"/>
    <w:rsid w:val="00454F13"/>
    <w:rsid w:val="0046240B"/>
    <w:rsid w:val="00475471"/>
    <w:rsid w:val="006319CF"/>
    <w:rsid w:val="006C4C8B"/>
    <w:rsid w:val="007F3DBF"/>
    <w:rsid w:val="00856D8A"/>
    <w:rsid w:val="0088275D"/>
    <w:rsid w:val="00891B6C"/>
    <w:rsid w:val="008F462E"/>
    <w:rsid w:val="00916B82"/>
    <w:rsid w:val="00923202"/>
    <w:rsid w:val="00940DB8"/>
    <w:rsid w:val="00973B0E"/>
    <w:rsid w:val="00A84950"/>
    <w:rsid w:val="00B1374E"/>
    <w:rsid w:val="00B179EF"/>
    <w:rsid w:val="00BB7A00"/>
    <w:rsid w:val="00C50588"/>
    <w:rsid w:val="00D85B94"/>
    <w:rsid w:val="00F36787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EF2B5"/>
  <w15:docId w15:val="{A319F718-679F-4303-B296-3715D62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891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itolo2">
    <w:name w:val="heading 2"/>
    <w:basedOn w:val="Normale"/>
    <w:link w:val="Titolo2Carattere"/>
    <w:uiPriority w:val="9"/>
    <w:qFormat/>
    <w:rsid w:val="00891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9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1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1B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B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essunaspaziatura">
    <w:name w:val="No Spacing"/>
    <w:uiPriority w:val="1"/>
    <w:qFormat/>
    <w:rsid w:val="00891B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1B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50"/>
  </w:style>
  <w:style w:type="paragraph" w:styleId="Pidipagina">
    <w:name w:val="footer"/>
    <w:basedOn w:val="Normale"/>
    <w:link w:val="PidipaginaCarattere"/>
    <w:uiPriority w:val="8"/>
    <w:unhideWhenUsed/>
    <w:rsid w:val="00A84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8"/>
    <w:rsid w:val="00A849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9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Magni</dc:creator>
  <cp:lastModifiedBy>Tabasso, Edoardo</cp:lastModifiedBy>
  <cp:revision>7</cp:revision>
  <cp:lastPrinted>2015-10-15T16:03:00Z</cp:lastPrinted>
  <dcterms:created xsi:type="dcterms:W3CDTF">2017-05-30T13:33:00Z</dcterms:created>
  <dcterms:modified xsi:type="dcterms:W3CDTF">2017-06-01T16:03:00Z</dcterms:modified>
</cp:coreProperties>
</file>